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7E700" w14:textId="77777777" w:rsidR="00EE6872" w:rsidRDefault="00EE6872">
      <w:pPr>
        <w:widowControl w:val="0"/>
        <w:jc w:val="center"/>
        <w:textAlignment w:val="baseline"/>
        <w:rPr>
          <w:sz w:val="22"/>
          <w:szCs w:val="22"/>
        </w:rPr>
      </w:pPr>
    </w:p>
    <w:p w14:paraId="06A2625F" w14:textId="77777777" w:rsidR="00083837" w:rsidRDefault="00083837">
      <w:pPr>
        <w:widowControl w:val="0"/>
        <w:textAlignment w:val="baseline"/>
        <w:rPr>
          <w:szCs w:val="24"/>
        </w:rPr>
      </w:pPr>
    </w:p>
    <w:p w14:paraId="51D1B5B7" w14:textId="022201E3" w:rsidR="00083837" w:rsidRDefault="00083837">
      <w:pPr>
        <w:widowControl w:val="0"/>
        <w:textAlignment w:val="baseline"/>
        <w:rPr>
          <w:szCs w:val="24"/>
        </w:rPr>
      </w:pPr>
    </w:p>
    <w:p w14:paraId="6DAF0414" w14:textId="77777777" w:rsidR="00EE6872" w:rsidRDefault="00EE6872">
      <w:pPr>
        <w:widowControl w:val="0"/>
        <w:textAlignment w:val="baseline"/>
        <w:rPr>
          <w:szCs w:val="24"/>
        </w:rPr>
      </w:pPr>
    </w:p>
    <w:p w14:paraId="7534FC61" w14:textId="4C2F64DB" w:rsidR="00083837" w:rsidRDefault="00DF2F6F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083837" w:rsidRPr="00D43F63" w:rsidRDefault="00083837">
      <w:pPr>
        <w:widowControl w:val="0"/>
        <w:jc w:val="center"/>
        <w:textAlignment w:val="baseline"/>
        <w:rPr>
          <w:szCs w:val="24"/>
        </w:rPr>
      </w:pPr>
    </w:p>
    <w:p w14:paraId="2EE47239" w14:textId="5A638F15" w:rsidR="00083837" w:rsidRPr="00D43F63" w:rsidRDefault="00DF2F6F">
      <w:pPr>
        <w:widowControl w:val="0"/>
        <w:jc w:val="center"/>
        <w:textAlignment w:val="baseline"/>
        <w:rPr>
          <w:szCs w:val="24"/>
        </w:rPr>
      </w:pPr>
      <w:r w:rsidRPr="00D43F63">
        <w:rPr>
          <w:szCs w:val="24"/>
        </w:rPr>
        <w:t>20</w:t>
      </w:r>
      <w:r w:rsidR="00F73767" w:rsidRPr="00D43F63">
        <w:rPr>
          <w:szCs w:val="24"/>
        </w:rPr>
        <w:t>2</w:t>
      </w:r>
      <w:r w:rsidR="00B67CA4" w:rsidRPr="00D43F63">
        <w:rPr>
          <w:szCs w:val="24"/>
        </w:rPr>
        <w:t>3</w:t>
      </w:r>
      <w:r w:rsidRPr="00D43F63">
        <w:rPr>
          <w:szCs w:val="24"/>
        </w:rPr>
        <w:t xml:space="preserve"> m. </w:t>
      </w:r>
      <w:r w:rsidR="00A40DD4" w:rsidRPr="00D43F63">
        <w:rPr>
          <w:szCs w:val="24"/>
        </w:rPr>
        <w:t xml:space="preserve">vasario 28 </w:t>
      </w:r>
      <w:r w:rsidRPr="00D43F63">
        <w:rPr>
          <w:szCs w:val="24"/>
        </w:rPr>
        <w:t>d.</w:t>
      </w:r>
    </w:p>
    <w:p w14:paraId="523DCB94" w14:textId="77777777" w:rsidR="00083837" w:rsidRPr="00D43F63" w:rsidRDefault="00083837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D43F63" w:rsidRPr="00D43F63" w14:paraId="77188082" w14:textId="77777777">
        <w:tc>
          <w:tcPr>
            <w:tcW w:w="6345" w:type="dxa"/>
            <w:shd w:val="clear" w:color="auto" w:fill="auto"/>
            <w:vAlign w:val="center"/>
          </w:tcPr>
          <w:p w14:paraId="27B7C8B4" w14:textId="26D73FFD" w:rsidR="00083837" w:rsidRPr="00D43F63" w:rsidRDefault="00DF2F6F">
            <w:pPr>
              <w:widowControl w:val="0"/>
              <w:textAlignment w:val="baseline"/>
              <w:rPr>
                <w:b/>
                <w:szCs w:val="24"/>
              </w:rPr>
            </w:pPr>
            <w:r w:rsidRPr="00D43F63"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32F9A50" w14:textId="24CE7DF5" w:rsidR="000B1D46" w:rsidRPr="00D43F63" w:rsidRDefault="000B1D46" w:rsidP="000B1D46">
            <w:pPr>
              <w:widowControl w:val="0"/>
              <w:textAlignment w:val="baseline"/>
              <w:rPr>
                <w:szCs w:val="24"/>
              </w:rPr>
            </w:pPr>
            <w:r w:rsidRPr="00D43F63">
              <w:rPr>
                <w:szCs w:val="24"/>
              </w:rPr>
              <w:t xml:space="preserve">Lietuvos Respublikos </w:t>
            </w:r>
            <w:r w:rsidR="000D2DCE" w:rsidRPr="00D43F63">
              <w:rPr>
                <w:szCs w:val="24"/>
              </w:rPr>
              <w:t>žemės ūkio</w:t>
            </w:r>
            <w:r w:rsidRPr="00D43F63">
              <w:rPr>
                <w:szCs w:val="24"/>
              </w:rPr>
              <w:t xml:space="preserve"> ministerija</w:t>
            </w:r>
          </w:p>
          <w:p w14:paraId="509B765C" w14:textId="33BC204B" w:rsidR="00083837" w:rsidRPr="00D43F63" w:rsidRDefault="00083837">
            <w:pPr>
              <w:widowControl w:val="0"/>
              <w:textAlignment w:val="baseline"/>
              <w:rPr>
                <w:i/>
                <w:szCs w:val="24"/>
              </w:rPr>
            </w:pPr>
          </w:p>
        </w:tc>
      </w:tr>
      <w:tr w:rsidR="00D43F63" w:rsidRPr="00D43F63" w14:paraId="5BE1F7E2" w14:textId="77777777">
        <w:tc>
          <w:tcPr>
            <w:tcW w:w="6345" w:type="dxa"/>
            <w:shd w:val="clear" w:color="auto" w:fill="auto"/>
            <w:vAlign w:val="center"/>
          </w:tcPr>
          <w:p w14:paraId="0206FA4F" w14:textId="4BEED8B3" w:rsidR="00083837" w:rsidRPr="00D43F63" w:rsidRDefault="00DF2F6F">
            <w:pPr>
              <w:widowControl w:val="0"/>
              <w:textAlignment w:val="baseline"/>
              <w:rPr>
                <w:b/>
                <w:szCs w:val="24"/>
              </w:rPr>
            </w:pPr>
            <w:r w:rsidRPr="00D43F63">
              <w:rPr>
                <w:b/>
                <w:szCs w:val="24"/>
              </w:rPr>
              <w:t>Pažangos priemonės veiklos (</w:t>
            </w:r>
            <w:proofErr w:type="spellStart"/>
            <w:r w:rsidRPr="00D43F63">
              <w:rPr>
                <w:b/>
                <w:szCs w:val="24"/>
              </w:rPr>
              <w:t>poveiklės</w:t>
            </w:r>
            <w:proofErr w:type="spellEnd"/>
            <w:r w:rsidRPr="00D43F63">
              <w:rPr>
                <w:b/>
                <w:szCs w:val="24"/>
              </w:rPr>
              <w:t>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9FF0DB4" w14:textId="5AB6C8F7" w:rsidR="001C4DF3" w:rsidRPr="00D43F63" w:rsidRDefault="001C4DF3">
            <w:pPr>
              <w:widowControl w:val="0"/>
              <w:textAlignment w:val="baseline"/>
              <w:rPr>
                <w:szCs w:val="24"/>
              </w:rPr>
            </w:pPr>
            <w:r w:rsidRPr="00D43F63">
              <w:rPr>
                <w:szCs w:val="24"/>
              </w:rPr>
              <w:t>„</w:t>
            </w:r>
            <w:r w:rsidR="00B57E06" w:rsidRPr="00D43F63">
              <w:rPr>
                <w:szCs w:val="24"/>
              </w:rPr>
              <w:t>Gyvūnų ir  visuomenės sveikatos priemonės</w:t>
            </w:r>
            <w:r w:rsidRPr="00D43F63">
              <w:rPr>
                <w:szCs w:val="24"/>
              </w:rPr>
              <w:t>“ (toliau – Priemonė)</w:t>
            </w:r>
          </w:p>
          <w:p w14:paraId="6B54FBC3" w14:textId="77777777" w:rsidR="001C4DF3" w:rsidRPr="00D43F63" w:rsidRDefault="001C4DF3">
            <w:pPr>
              <w:widowControl w:val="0"/>
              <w:textAlignment w:val="baseline"/>
              <w:rPr>
                <w:szCs w:val="24"/>
              </w:rPr>
            </w:pPr>
          </w:p>
          <w:p w14:paraId="60BD5E92" w14:textId="65D47D97" w:rsidR="00083837" w:rsidRPr="00D43F63" w:rsidRDefault="00235CEB">
            <w:pPr>
              <w:widowControl w:val="0"/>
              <w:textAlignment w:val="baseline"/>
              <w:rPr>
                <w:szCs w:val="24"/>
              </w:rPr>
            </w:pPr>
            <w:r w:rsidRPr="00D43F63">
              <w:rPr>
                <w:szCs w:val="24"/>
              </w:rPr>
              <w:t xml:space="preserve">2022–2030 metų žemės ūkio, maisto, kaimo plėtros ir žuvininkystės plėtros programos </w:t>
            </w:r>
            <w:r w:rsidR="00524DB8" w:rsidRPr="00D43F63">
              <w:rPr>
                <w:szCs w:val="24"/>
              </w:rPr>
              <w:t xml:space="preserve">priemonės </w:t>
            </w:r>
            <w:bookmarkStart w:id="0" w:name="_Hlk113520076"/>
            <w:r w:rsidR="00C86CAE" w:rsidRPr="00D43F63">
              <w:rPr>
                <w:szCs w:val="24"/>
              </w:rPr>
              <w:t xml:space="preserve">15-001-06-02-04 aprašo veikla </w:t>
            </w:r>
            <w:bookmarkEnd w:id="0"/>
            <w:r w:rsidR="00CE496F" w:rsidRPr="00D43F63">
              <w:rPr>
                <w:szCs w:val="24"/>
              </w:rPr>
              <w:t>aprašo veikla „</w:t>
            </w:r>
            <w:r w:rsidR="00B57E06" w:rsidRPr="00D43F63">
              <w:rPr>
                <w:szCs w:val="24"/>
              </w:rPr>
              <w:t>Gyvūnų ir  visuomenės sveikatos priemonės</w:t>
            </w:r>
            <w:r w:rsidR="00B67CA4" w:rsidRPr="00D43F63">
              <w:rPr>
                <w:szCs w:val="24"/>
              </w:rPr>
              <w:t>“</w:t>
            </w:r>
          </w:p>
        </w:tc>
      </w:tr>
      <w:tr w:rsidR="00D43F63" w:rsidRPr="00D43F63" w14:paraId="31AE92AE" w14:textId="77777777">
        <w:tc>
          <w:tcPr>
            <w:tcW w:w="6345" w:type="dxa"/>
            <w:shd w:val="clear" w:color="auto" w:fill="auto"/>
            <w:vAlign w:val="center"/>
          </w:tcPr>
          <w:p w14:paraId="06EF78B7" w14:textId="77C8EE32" w:rsidR="00083837" w:rsidRPr="00D43F63" w:rsidRDefault="00DF2F6F">
            <w:pPr>
              <w:widowControl w:val="0"/>
              <w:textAlignment w:val="baseline"/>
              <w:rPr>
                <w:b/>
                <w:szCs w:val="24"/>
              </w:rPr>
            </w:pPr>
            <w:r w:rsidRPr="00D43F63">
              <w:rPr>
                <w:b/>
                <w:szCs w:val="24"/>
              </w:rPr>
              <w:t>Pažangos priemonės veiklai (</w:t>
            </w:r>
            <w:proofErr w:type="spellStart"/>
            <w:r w:rsidRPr="00D43F63">
              <w:rPr>
                <w:b/>
                <w:szCs w:val="24"/>
              </w:rPr>
              <w:t>poveiklei</w:t>
            </w:r>
            <w:proofErr w:type="spellEnd"/>
            <w:r w:rsidRPr="00D43F63">
              <w:rPr>
                <w:b/>
                <w:szCs w:val="24"/>
              </w:rPr>
              <w:t>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4CAF5D3E" w:rsidR="00083837" w:rsidRPr="00D43F63" w:rsidRDefault="00B57E06">
            <w:pPr>
              <w:widowControl w:val="0"/>
              <w:textAlignment w:val="baseline"/>
              <w:rPr>
                <w:szCs w:val="24"/>
              </w:rPr>
            </w:pPr>
            <w:r w:rsidRPr="00D43F63">
              <w:rPr>
                <w:szCs w:val="24"/>
                <w:lang w:val="en-US"/>
              </w:rPr>
              <w:t>1 450</w:t>
            </w:r>
            <w:r w:rsidR="00B67CA4" w:rsidRPr="00D43F63">
              <w:rPr>
                <w:szCs w:val="24"/>
                <w:lang w:val="en-US"/>
              </w:rPr>
              <w:t xml:space="preserve"> 000</w:t>
            </w:r>
            <w:r w:rsidR="005A08F8" w:rsidRPr="00D43F63">
              <w:rPr>
                <w:szCs w:val="24"/>
              </w:rPr>
              <w:t xml:space="preserve"> Eur</w:t>
            </w:r>
            <w:r w:rsidR="003C6A19" w:rsidRPr="00D43F63">
              <w:rPr>
                <w:szCs w:val="24"/>
              </w:rPr>
              <w:t xml:space="preserve"> iš jų E</w:t>
            </w:r>
            <w:r w:rsidRPr="00D43F63">
              <w:rPr>
                <w:szCs w:val="24"/>
              </w:rPr>
              <w:t>J</w:t>
            </w:r>
            <w:r w:rsidR="003C6A19" w:rsidRPr="00D43F63">
              <w:rPr>
                <w:szCs w:val="24"/>
              </w:rPr>
              <w:t xml:space="preserve">RŽAF </w:t>
            </w:r>
            <w:r w:rsidRPr="00D43F63">
              <w:rPr>
                <w:szCs w:val="24"/>
              </w:rPr>
              <w:t>1 015</w:t>
            </w:r>
            <w:r w:rsidR="003C6A19" w:rsidRPr="00D43F63">
              <w:rPr>
                <w:szCs w:val="24"/>
              </w:rPr>
              <w:t> 000 Eur</w:t>
            </w:r>
          </w:p>
        </w:tc>
      </w:tr>
      <w:tr w:rsidR="00D43F63" w:rsidRPr="00D43F63" w14:paraId="390279EA" w14:textId="77777777">
        <w:tc>
          <w:tcPr>
            <w:tcW w:w="6345" w:type="dxa"/>
            <w:shd w:val="clear" w:color="auto" w:fill="auto"/>
            <w:vAlign w:val="center"/>
          </w:tcPr>
          <w:p w14:paraId="113DE1EC" w14:textId="78882A84" w:rsidR="00083837" w:rsidRPr="00D43F63" w:rsidRDefault="00DF2F6F">
            <w:pPr>
              <w:widowControl w:val="0"/>
              <w:textAlignment w:val="baseline"/>
              <w:rPr>
                <w:b/>
                <w:szCs w:val="24"/>
              </w:rPr>
            </w:pPr>
            <w:r w:rsidRPr="00D43F63">
              <w:rPr>
                <w:b/>
                <w:szCs w:val="24"/>
              </w:rPr>
              <w:t>Finansavimo šaltinis (-</w:t>
            </w:r>
            <w:proofErr w:type="spellStart"/>
            <w:r w:rsidRPr="00D43F63">
              <w:rPr>
                <w:b/>
                <w:szCs w:val="24"/>
              </w:rPr>
              <w:t>iai</w:t>
            </w:r>
            <w:proofErr w:type="spellEnd"/>
            <w:r w:rsidRPr="00D43F63">
              <w:rPr>
                <w:b/>
                <w:szCs w:val="24"/>
              </w:rPr>
              <w:t>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E10E3DE" w14:textId="2F3ADCAC" w:rsidR="00083837" w:rsidRPr="00D43F63" w:rsidRDefault="000D2DCE">
            <w:pPr>
              <w:rPr>
                <w:szCs w:val="24"/>
              </w:rPr>
            </w:pPr>
            <w:r w:rsidRPr="00D43F63">
              <w:rPr>
                <w:szCs w:val="24"/>
              </w:rPr>
              <w:t xml:space="preserve">Lietuvos žuvininkystės sektoriaus </w:t>
            </w:r>
            <w:r w:rsidR="00DF2F6F" w:rsidRPr="00D43F63">
              <w:rPr>
                <w:szCs w:val="24"/>
              </w:rPr>
              <w:t>2021–2027 metų program</w:t>
            </w:r>
            <w:r w:rsidR="00510CF2" w:rsidRPr="00D43F63">
              <w:rPr>
                <w:szCs w:val="24"/>
              </w:rPr>
              <w:t>os lėšos</w:t>
            </w:r>
          </w:p>
        </w:tc>
      </w:tr>
      <w:tr w:rsidR="00D43F63" w:rsidRPr="00D43F63" w14:paraId="4C57846C" w14:textId="77777777">
        <w:tc>
          <w:tcPr>
            <w:tcW w:w="6345" w:type="dxa"/>
            <w:shd w:val="clear" w:color="auto" w:fill="auto"/>
            <w:vAlign w:val="center"/>
          </w:tcPr>
          <w:p w14:paraId="2F0BDDAD" w14:textId="0F59C7D9" w:rsidR="00083837" w:rsidRPr="00D43F63" w:rsidRDefault="000D2DCE">
            <w:pPr>
              <w:widowControl w:val="0"/>
              <w:textAlignment w:val="baseline"/>
              <w:rPr>
                <w:b/>
                <w:szCs w:val="24"/>
              </w:rPr>
            </w:pPr>
            <w:r w:rsidRPr="00D43F63">
              <w:rPr>
                <w:b/>
                <w:bCs/>
                <w:szCs w:val="24"/>
              </w:rPr>
              <w:t>Konkretus tikslas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40A29895" w:rsidR="00083837" w:rsidRPr="00D43F63" w:rsidRDefault="000D2DCE">
            <w:pPr>
              <w:widowControl w:val="0"/>
              <w:textAlignment w:val="baseline"/>
              <w:rPr>
                <w:szCs w:val="24"/>
              </w:rPr>
            </w:pPr>
            <w:r w:rsidRPr="00D43F63">
              <w:rPr>
                <w:szCs w:val="24"/>
              </w:rPr>
              <w:t>P</w:t>
            </w:r>
            <w:r w:rsidR="00DF2F6F" w:rsidRPr="00D43F63">
              <w:rPr>
                <w:szCs w:val="24"/>
              </w:rPr>
              <w:t xml:space="preserve">rogramos </w:t>
            </w:r>
            <w:r w:rsidRPr="00D43F63">
              <w:rPr>
                <w:szCs w:val="24"/>
                <w:lang w:val="en-US"/>
              </w:rPr>
              <w:t>2.</w:t>
            </w:r>
            <w:r w:rsidR="00B67CA4" w:rsidRPr="00D43F63">
              <w:rPr>
                <w:szCs w:val="24"/>
                <w:lang w:val="en-US"/>
              </w:rPr>
              <w:t>1</w:t>
            </w:r>
            <w:r w:rsidRPr="00D43F63">
              <w:rPr>
                <w:szCs w:val="24"/>
                <w:lang w:val="en-US"/>
              </w:rPr>
              <w:t xml:space="preserve">. </w:t>
            </w:r>
            <w:proofErr w:type="spellStart"/>
            <w:r w:rsidRPr="00D43F63">
              <w:rPr>
                <w:szCs w:val="24"/>
                <w:lang w:val="en-US"/>
              </w:rPr>
              <w:t>konkretus</w:t>
            </w:r>
            <w:proofErr w:type="spellEnd"/>
            <w:r w:rsidRPr="00D43F63">
              <w:rPr>
                <w:szCs w:val="24"/>
                <w:lang w:val="en-US"/>
              </w:rPr>
              <w:t xml:space="preserve"> </w:t>
            </w:r>
            <w:proofErr w:type="spellStart"/>
            <w:r w:rsidRPr="00D43F63">
              <w:rPr>
                <w:szCs w:val="24"/>
                <w:lang w:val="en-US"/>
              </w:rPr>
              <w:t>tikslas</w:t>
            </w:r>
            <w:proofErr w:type="spellEnd"/>
            <w:r w:rsidR="00DE1A6A" w:rsidRPr="00D43F63">
              <w:rPr>
                <w:szCs w:val="24"/>
              </w:rPr>
              <w:t xml:space="preserve"> </w:t>
            </w:r>
            <w:r w:rsidR="00235CEB" w:rsidRPr="00D43F63">
              <w:rPr>
                <w:szCs w:val="24"/>
              </w:rPr>
              <w:t>„</w:t>
            </w:r>
            <w:r w:rsidR="00B67CA4" w:rsidRPr="00D43F63">
              <w:rPr>
                <w:szCs w:val="24"/>
              </w:rPr>
              <w:t>Skatinti darnią akvakultūros veiklą, visų pirma didinti akvakultūros produktų gamybos konkurencingumą, kartu užtikrinant, kad veikla būtų aplinkos požiūriu tvari ilguoju laikotarpiu</w:t>
            </w:r>
            <w:r w:rsidR="00235CEB" w:rsidRPr="00D43F63">
              <w:rPr>
                <w:szCs w:val="24"/>
              </w:rPr>
              <w:t>“</w:t>
            </w:r>
            <w:r w:rsidR="00BF0529" w:rsidRPr="00D43F63">
              <w:rPr>
                <w:szCs w:val="24"/>
              </w:rPr>
              <w:t xml:space="preserve"> </w:t>
            </w:r>
          </w:p>
        </w:tc>
      </w:tr>
      <w:tr w:rsidR="00D43F63" w:rsidRPr="00D43F63" w14:paraId="336BAD4A" w14:textId="77777777">
        <w:tc>
          <w:tcPr>
            <w:tcW w:w="6345" w:type="dxa"/>
            <w:shd w:val="clear" w:color="auto" w:fill="auto"/>
            <w:vAlign w:val="center"/>
          </w:tcPr>
          <w:p w14:paraId="3F00C7BD" w14:textId="4D595484" w:rsidR="00083837" w:rsidRPr="00D43F63" w:rsidRDefault="00DF2F6F">
            <w:pPr>
              <w:widowControl w:val="0"/>
              <w:textAlignment w:val="baseline"/>
              <w:rPr>
                <w:b/>
                <w:szCs w:val="24"/>
              </w:rPr>
            </w:pPr>
            <w:r w:rsidRPr="00D43F63"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1BFB854A" w14:textId="77777777" w:rsidR="00083837" w:rsidRPr="00D43F63" w:rsidRDefault="00DF2F6F">
            <w:pPr>
              <w:widowControl w:val="0"/>
              <w:textAlignment w:val="baseline"/>
              <w:rPr>
                <w:szCs w:val="24"/>
              </w:rPr>
            </w:pPr>
            <w:r w:rsidRPr="00D43F63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D43F63">
              <w:rPr>
                <w:szCs w:val="24"/>
              </w:rPr>
              <w:t xml:space="preserve"> Planavimo</w:t>
            </w:r>
          </w:p>
          <w:p w14:paraId="1B352361" w14:textId="317B6264" w:rsidR="00083837" w:rsidRPr="00D43F63" w:rsidRDefault="00DE1A6A">
            <w:pPr>
              <w:widowControl w:val="0"/>
              <w:textAlignment w:val="baseline"/>
              <w:rPr>
                <w:szCs w:val="24"/>
              </w:rPr>
            </w:pPr>
            <w:r w:rsidRPr="00D43F63">
              <w:rPr>
                <w:b/>
                <w:bCs/>
                <w:szCs w:val="24"/>
                <w:lang w:eastAsia="lt-LT"/>
              </w:rPr>
              <w:t>x</w:t>
            </w:r>
            <w:r w:rsidR="00DF2F6F" w:rsidRPr="00D43F63">
              <w:rPr>
                <w:szCs w:val="24"/>
              </w:rPr>
              <w:t xml:space="preserve"> Konkurso</w:t>
            </w:r>
          </w:p>
          <w:p w14:paraId="609AFC41" w14:textId="3166F1C1" w:rsidR="00083837" w:rsidRPr="00D43F63" w:rsidRDefault="00DF2F6F">
            <w:pPr>
              <w:widowControl w:val="0"/>
              <w:textAlignment w:val="baseline"/>
              <w:rPr>
                <w:szCs w:val="24"/>
              </w:rPr>
            </w:pPr>
            <w:r w:rsidRPr="00D43F63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D43F63">
              <w:rPr>
                <w:szCs w:val="24"/>
              </w:rPr>
              <w:t xml:space="preserve"> </w:t>
            </w:r>
            <w:r w:rsidR="00227BC5" w:rsidRPr="00D43F63">
              <w:rPr>
                <w:szCs w:val="24"/>
              </w:rPr>
              <w:t>Kompensavimo</w:t>
            </w:r>
          </w:p>
          <w:p w14:paraId="19502A19" w14:textId="6F8ECD49" w:rsidR="00083837" w:rsidRPr="00D43F63" w:rsidRDefault="00DF2F6F">
            <w:pPr>
              <w:widowControl w:val="0"/>
              <w:textAlignment w:val="baseline"/>
              <w:rPr>
                <w:szCs w:val="24"/>
              </w:rPr>
            </w:pPr>
            <w:r w:rsidRPr="00D43F63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D43F63">
              <w:rPr>
                <w:b/>
                <w:bCs/>
                <w:szCs w:val="24"/>
                <w:lang w:eastAsia="lt-LT"/>
              </w:rPr>
              <w:t xml:space="preserve"> </w:t>
            </w:r>
            <w:r w:rsidRPr="00D43F63">
              <w:rPr>
                <w:bCs/>
                <w:szCs w:val="24"/>
                <w:lang w:eastAsia="lt-LT"/>
              </w:rPr>
              <w:t>Finansinė priemonė</w:t>
            </w:r>
          </w:p>
        </w:tc>
      </w:tr>
      <w:tr w:rsidR="00D43F63" w:rsidRPr="00D43F63" w14:paraId="424A16BA" w14:textId="77777777" w:rsidTr="00F85313">
        <w:trPr>
          <w:trHeight w:val="341"/>
        </w:trPr>
        <w:tc>
          <w:tcPr>
            <w:tcW w:w="6345" w:type="dxa"/>
            <w:shd w:val="clear" w:color="auto" w:fill="auto"/>
            <w:vAlign w:val="center"/>
          </w:tcPr>
          <w:p w14:paraId="44E3D02A" w14:textId="62C2CCFF" w:rsidR="00083837" w:rsidRPr="00D43F63" w:rsidRDefault="00DF2F6F">
            <w:pPr>
              <w:widowControl w:val="0"/>
              <w:textAlignment w:val="baseline"/>
              <w:rPr>
                <w:b/>
                <w:szCs w:val="24"/>
              </w:rPr>
            </w:pPr>
            <w:r w:rsidRPr="00D43F63">
              <w:rPr>
                <w:b/>
                <w:szCs w:val="24"/>
              </w:rPr>
              <w:t xml:space="preserve">Atitiktis horizontaliesiems principams (toliau – HP)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3BE8C7F3" w14:textId="0F1B632E" w:rsidR="00371BB7" w:rsidRPr="00D43F63" w:rsidRDefault="00371BB7" w:rsidP="003C6A19">
            <w:pPr>
              <w:tabs>
                <w:tab w:val="left" w:pos="426"/>
                <w:tab w:val="left" w:pos="709"/>
              </w:tabs>
              <w:jc w:val="both"/>
              <w:rPr>
                <w:bCs/>
                <w:iCs/>
                <w:szCs w:val="24"/>
              </w:rPr>
            </w:pPr>
            <w:r w:rsidRPr="00D43F63">
              <w:rPr>
                <w:bCs/>
                <w:iCs/>
                <w:szCs w:val="24"/>
              </w:rPr>
              <w:t xml:space="preserve">Tiesiogiai </w:t>
            </w:r>
            <w:r w:rsidR="003C6A19" w:rsidRPr="00D43F63">
              <w:rPr>
                <w:bCs/>
                <w:iCs/>
                <w:szCs w:val="24"/>
              </w:rPr>
              <w:t>ne</w:t>
            </w:r>
            <w:r w:rsidRPr="00D43F63">
              <w:rPr>
                <w:bCs/>
                <w:iCs/>
                <w:szCs w:val="24"/>
              </w:rPr>
              <w:t>pr</w:t>
            </w:r>
            <w:r w:rsidR="00D27B81" w:rsidRPr="00D43F63">
              <w:rPr>
                <w:bCs/>
                <w:iCs/>
                <w:szCs w:val="24"/>
              </w:rPr>
              <w:t>i</w:t>
            </w:r>
            <w:r w:rsidRPr="00D43F63">
              <w:rPr>
                <w:bCs/>
                <w:iCs/>
                <w:szCs w:val="24"/>
              </w:rPr>
              <w:t>sideda prie HP įgyvendinimo</w:t>
            </w:r>
            <w:r w:rsidR="003C6A19" w:rsidRPr="00D43F63">
              <w:rPr>
                <w:bCs/>
                <w:iCs/>
                <w:szCs w:val="24"/>
              </w:rPr>
              <w:t>.</w:t>
            </w:r>
          </w:p>
          <w:p w14:paraId="72B5C4C1" w14:textId="43D0F5EA" w:rsidR="00083837" w:rsidRPr="00D43F63" w:rsidRDefault="00083837" w:rsidP="003C6A19">
            <w:pPr>
              <w:overflowPunct w:val="0"/>
              <w:ind w:firstLine="851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</w:p>
        </w:tc>
      </w:tr>
      <w:tr w:rsidR="00083837" w:rsidRPr="00D43F63" w14:paraId="54710AA5" w14:textId="77777777" w:rsidTr="00F85313">
        <w:trPr>
          <w:trHeight w:val="476"/>
        </w:trPr>
        <w:tc>
          <w:tcPr>
            <w:tcW w:w="6345" w:type="dxa"/>
            <w:shd w:val="clear" w:color="auto" w:fill="auto"/>
            <w:vAlign w:val="center"/>
          </w:tcPr>
          <w:p w14:paraId="1E4E3BC5" w14:textId="6D0B3A27" w:rsidR="00083837" w:rsidRPr="00D43F63" w:rsidRDefault="00DF2F6F">
            <w:pPr>
              <w:widowControl w:val="0"/>
              <w:textAlignment w:val="baseline"/>
              <w:rPr>
                <w:b/>
                <w:szCs w:val="24"/>
              </w:rPr>
            </w:pPr>
            <w:r w:rsidRPr="00D43F63">
              <w:rPr>
                <w:b/>
                <w:szCs w:val="24"/>
              </w:rPr>
              <w:t>Atitiktis Europos Sąjungos pagrindinių teisių chartijai (toliau – Chartija)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3A57C6C3" w14:textId="325C0DB7" w:rsidR="00083837" w:rsidRPr="00D43F63" w:rsidRDefault="002175B0" w:rsidP="003C6A19">
            <w:pPr>
              <w:overflowPunct w:val="0"/>
              <w:jc w:val="both"/>
              <w:textAlignment w:val="baseline"/>
              <w:rPr>
                <w:bCs/>
                <w:i/>
                <w:szCs w:val="24"/>
                <w:lang w:eastAsia="lt-LT"/>
              </w:rPr>
            </w:pPr>
            <w:r w:rsidRPr="00D43F63">
              <w:rPr>
                <w:szCs w:val="24"/>
                <w:lang w:eastAsia="lt-LT"/>
              </w:rPr>
              <w:t xml:space="preserve">Tiesiogiai </w:t>
            </w:r>
            <w:r w:rsidR="003C6A19" w:rsidRPr="00D43F63">
              <w:rPr>
                <w:szCs w:val="24"/>
                <w:lang w:eastAsia="lt-LT"/>
              </w:rPr>
              <w:t>ne</w:t>
            </w:r>
            <w:r w:rsidRPr="00D43F63">
              <w:rPr>
                <w:szCs w:val="24"/>
                <w:lang w:eastAsia="lt-LT"/>
              </w:rPr>
              <w:t xml:space="preserve">prisidedama prie </w:t>
            </w:r>
            <w:r w:rsidR="003C6A19" w:rsidRPr="00D43F63">
              <w:rPr>
                <w:szCs w:val="24"/>
                <w:lang w:eastAsia="lt-LT"/>
              </w:rPr>
              <w:t xml:space="preserve">Chartijos įgyvendinimo </w:t>
            </w:r>
            <w:r w:rsidR="00E50740" w:rsidRPr="00D43F63">
              <w:rPr>
                <w:szCs w:val="24"/>
                <w:lang w:eastAsia="lt-LT"/>
              </w:rPr>
              <w:t>.</w:t>
            </w:r>
          </w:p>
        </w:tc>
      </w:tr>
    </w:tbl>
    <w:p w14:paraId="2A20A757" w14:textId="77777777" w:rsidR="00083837" w:rsidRPr="00D43F63" w:rsidRDefault="00083837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0"/>
        <w:gridCol w:w="8867"/>
      </w:tblGrid>
      <w:tr w:rsidR="00D43F63" w:rsidRPr="00D43F63" w14:paraId="51B3363E" w14:textId="77777777">
        <w:tc>
          <w:tcPr>
            <w:tcW w:w="6345" w:type="dxa"/>
            <w:shd w:val="clear" w:color="auto" w:fill="auto"/>
          </w:tcPr>
          <w:p w14:paraId="41C0751E" w14:textId="2BC83EE9" w:rsidR="00083837" w:rsidRPr="00D43F63" w:rsidRDefault="00DF2F6F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D43F63">
              <w:rPr>
                <w:szCs w:val="24"/>
              </w:rPr>
              <w:br w:type="page"/>
            </w:r>
            <w:r w:rsidR="00E01A64" w:rsidRPr="00D43F63">
              <w:rPr>
                <w:b/>
                <w:bCs/>
                <w:szCs w:val="24"/>
                <w:lang w:eastAsia="lt-LT"/>
              </w:rPr>
              <w:t>x</w:t>
            </w:r>
            <w:r w:rsidRPr="00D43F63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0F59E8CD" w14:textId="7824706F" w:rsidR="00083837" w:rsidRPr="00D43F63" w:rsidRDefault="00E01A64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D43F63">
              <w:rPr>
                <w:b/>
                <w:bCs/>
                <w:szCs w:val="24"/>
                <w:lang w:eastAsia="lt-LT"/>
              </w:rPr>
              <w:t xml:space="preserve"> </w:t>
            </w:r>
            <w:r w:rsidR="00DF2F6F" w:rsidRPr="00D43F63">
              <w:rPr>
                <w:b/>
                <w:bCs/>
                <w:szCs w:val="24"/>
                <w:lang w:eastAsia="lt-LT"/>
              </w:rPr>
              <w:t>PRIORITETINIS PROJEKTŲ ATRANKOS KRITERIJUS</w:t>
            </w:r>
          </w:p>
          <w:p w14:paraId="0744BF57" w14:textId="77777777" w:rsidR="00083837" w:rsidRPr="00D43F63" w:rsidRDefault="00DF2F6F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D43F63"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9008" w:type="dxa"/>
            <w:shd w:val="clear" w:color="auto" w:fill="auto"/>
          </w:tcPr>
          <w:p w14:paraId="736D2F4A" w14:textId="35E6E349" w:rsidR="00083837" w:rsidRPr="00D43F63" w:rsidRDefault="00DF2F6F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D43F63">
              <w:rPr>
                <w:b/>
                <w:bCs/>
                <w:szCs w:val="24"/>
                <w:lang w:eastAsia="lt-LT"/>
              </w:rPr>
              <w:t>x Nustatymas</w:t>
            </w:r>
          </w:p>
          <w:p w14:paraId="3EBC1D0C" w14:textId="4F0CFC23" w:rsidR="00083837" w:rsidRPr="00D43F63" w:rsidRDefault="00DF2F6F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D43F63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D43F63"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D43F63" w:rsidRPr="00D43F63" w14:paraId="6C9B72A7" w14:textId="77777777">
        <w:tc>
          <w:tcPr>
            <w:tcW w:w="6345" w:type="dxa"/>
            <w:shd w:val="clear" w:color="auto" w:fill="auto"/>
            <w:vAlign w:val="center"/>
          </w:tcPr>
          <w:p w14:paraId="6334BD0A" w14:textId="6FE24095" w:rsidR="00083837" w:rsidRPr="00D43F63" w:rsidRDefault="00DF2F6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D43F63"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9008" w:type="dxa"/>
            <w:shd w:val="clear" w:color="auto" w:fill="auto"/>
          </w:tcPr>
          <w:p w14:paraId="794524A3" w14:textId="1FDE64D3" w:rsidR="00083837" w:rsidRPr="00D43F63" w:rsidRDefault="00005017" w:rsidP="00E01A64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 w:rsidR="002375B1" w:rsidRPr="00D43F63">
              <w:rPr>
                <w:szCs w:val="24"/>
                <w:lang w:eastAsia="lt-LT"/>
              </w:rPr>
              <w:t xml:space="preserve">1. </w:t>
            </w:r>
            <w:r w:rsidR="003B1514" w:rsidRPr="00D43F63">
              <w:rPr>
                <w:szCs w:val="24"/>
                <w:lang w:eastAsia="lt-LT"/>
              </w:rPr>
              <w:t xml:space="preserve">konkrečių profilaktinių priemonių taikymas akvakultūros ūkyje pagrįstas kompetentingo subjekto parengtą rekomendaciją </w:t>
            </w:r>
            <w:r w:rsidR="003B1514" w:rsidRPr="00D43F63">
              <w:rPr>
                <w:i/>
                <w:iCs/>
                <w:szCs w:val="24"/>
                <w:lang w:eastAsia="lt-LT"/>
              </w:rPr>
              <w:t>(taikoma kai pareiškėjas akvakultūros įmonė);</w:t>
            </w:r>
          </w:p>
        </w:tc>
      </w:tr>
      <w:tr w:rsidR="00D43F63" w:rsidRPr="00D43F63" w14:paraId="225452A9" w14:textId="77777777">
        <w:tc>
          <w:tcPr>
            <w:tcW w:w="6345" w:type="dxa"/>
            <w:shd w:val="clear" w:color="auto" w:fill="auto"/>
            <w:vAlign w:val="center"/>
          </w:tcPr>
          <w:p w14:paraId="228A712C" w14:textId="56261FD1" w:rsidR="00083837" w:rsidRPr="00D43F63" w:rsidRDefault="00DF2F6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D43F63">
              <w:rPr>
                <w:b/>
                <w:bCs/>
                <w:szCs w:val="24"/>
                <w:lang w:eastAsia="lt-LT"/>
              </w:rPr>
              <w:lastRenderedPageBreak/>
              <w:t>Projektų atrankos kriterijaus vertinimo metodas ir taikymas</w:t>
            </w:r>
          </w:p>
        </w:tc>
        <w:tc>
          <w:tcPr>
            <w:tcW w:w="9008" w:type="dxa"/>
            <w:shd w:val="clear" w:color="auto" w:fill="auto"/>
          </w:tcPr>
          <w:p w14:paraId="2736F8DD" w14:textId="2C5535F0" w:rsidR="003B1514" w:rsidRPr="00D43F63" w:rsidRDefault="003B1514" w:rsidP="003B1514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  <w:r w:rsidRPr="00D43F63">
              <w:rPr>
                <w:szCs w:val="24"/>
                <w:lang w:eastAsia="lt-LT"/>
              </w:rPr>
              <w:t>Kartu su PĮP turi būti pateikta Kompetentingo subjekto parengta rekomendacija dėl konkrečių profilaktinių priemonių taikymo akvakultūros ūkyje.</w:t>
            </w:r>
          </w:p>
          <w:p w14:paraId="74595665" w14:textId="4D85B467" w:rsidR="00083837" w:rsidRPr="00D43F63" w:rsidRDefault="003B1514" w:rsidP="003B1514">
            <w:pPr>
              <w:widowControl w:val="0"/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  <w:r w:rsidRPr="00D43F63">
              <w:rPr>
                <w:szCs w:val="24"/>
                <w:lang w:eastAsia="lt-LT"/>
              </w:rPr>
              <w:t>Kompetentingas subjektas – valstybės ar savivaldybės institucija ar įstaiga arba viešoji įstaiga, arba Lietuvos mokslo ir studijų institucija, turinti kompetencijos žuvų sveikatos ir gerovės – prevencijos prieš žuvų ligas – srityje arba ekspertas, turintis veterinarijos gydytojo patologo kvalifikaciją bei darbo patirties akvakultūros ūkyje (</w:t>
            </w:r>
            <w:proofErr w:type="spellStart"/>
            <w:r w:rsidRPr="00D43F63">
              <w:rPr>
                <w:szCs w:val="24"/>
                <w:lang w:eastAsia="lt-LT"/>
              </w:rPr>
              <w:t>ichtiopatologijos</w:t>
            </w:r>
            <w:proofErr w:type="spellEnd"/>
            <w:r w:rsidRPr="00D43F63">
              <w:rPr>
                <w:szCs w:val="24"/>
                <w:lang w:eastAsia="lt-LT"/>
              </w:rPr>
              <w:t xml:space="preserve"> srityje).</w:t>
            </w:r>
          </w:p>
        </w:tc>
      </w:tr>
      <w:tr w:rsidR="002614E6" w:rsidRPr="00D43F63" w14:paraId="394004C0" w14:textId="77777777">
        <w:tc>
          <w:tcPr>
            <w:tcW w:w="6345" w:type="dxa"/>
            <w:shd w:val="clear" w:color="auto" w:fill="auto"/>
            <w:vAlign w:val="center"/>
          </w:tcPr>
          <w:p w14:paraId="17F3DB83" w14:textId="4623DD08" w:rsidR="00083837" w:rsidRPr="00D43F63" w:rsidRDefault="00DF2F6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D43F63"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9008" w:type="dxa"/>
            <w:shd w:val="clear" w:color="auto" w:fill="auto"/>
          </w:tcPr>
          <w:p w14:paraId="01E7EB71" w14:textId="6309BE08" w:rsidR="00083837" w:rsidRPr="00D43F63" w:rsidRDefault="008C7109" w:rsidP="00D9200C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  <w:r w:rsidRPr="00D43F63">
              <w:rPr>
                <w:szCs w:val="24"/>
                <w:lang w:eastAsia="lt-LT"/>
              </w:rPr>
              <w:t xml:space="preserve">Šiuo kriterijumi </w:t>
            </w:r>
            <w:r w:rsidR="006918A8" w:rsidRPr="00D43F63">
              <w:rPr>
                <w:szCs w:val="24"/>
                <w:lang w:eastAsia="lt-LT"/>
              </w:rPr>
              <w:t xml:space="preserve">užtikrinama, kad </w:t>
            </w:r>
            <w:r w:rsidR="00BA6B23" w:rsidRPr="00D43F63">
              <w:rPr>
                <w:szCs w:val="24"/>
                <w:lang w:eastAsia="lt-LT"/>
              </w:rPr>
              <w:t>būtų remiamos pagrįstos ir efektyvios priemonės</w:t>
            </w:r>
          </w:p>
        </w:tc>
      </w:tr>
    </w:tbl>
    <w:p w14:paraId="3EDBC686" w14:textId="77777777" w:rsidR="004E12A8" w:rsidRPr="00D43F63" w:rsidRDefault="004E12A8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7A337F14" w14:textId="7C0D8E79" w:rsidR="0093238A" w:rsidRPr="00D43F63" w:rsidRDefault="0093238A">
      <w:pPr>
        <w:widowControl w:val="0"/>
        <w:spacing w:line="240" w:lineRule="exact"/>
        <w:jc w:val="both"/>
        <w:textAlignment w:val="baseline"/>
        <w:rPr>
          <w:szCs w:val="24"/>
        </w:rPr>
      </w:pPr>
      <w:r w:rsidRPr="00D43F63">
        <w:rPr>
          <w:b/>
          <w:bCs/>
          <w:szCs w:val="24"/>
        </w:rPr>
        <w:t xml:space="preserve">Didžiausias galimas prioritetinių balų skaičius pagal Priemonės </w:t>
      </w:r>
      <w:r w:rsidR="00654FE8" w:rsidRPr="00D43F63">
        <w:rPr>
          <w:b/>
          <w:bCs/>
          <w:szCs w:val="24"/>
        </w:rPr>
        <w:t>4</w:t>
      </w:r>
      <w:r w:rsidRPr="00D43F63">
        <w:rPr>
          <w:b/>
          <w:bCs/>
          <w:szCs w:val="24"/>
        </w:rPr>
        <w:t xml:space="preserve"> prioritetinius projektų atrankos kriterijus – 100, mažiausias privalomas surinkti prioritetinių balų skaičius – </w:t>
      </w:r>
      <w:r w:rsidR="00004C87" w:rsidRPr="00D43F63">
        <w:rPr>
          <w:b/>
          <w:bCs/>
          <w:szCs w:val="24"/>
        </w:rPr>
        <w:t>2</w:t>
      </w:r>
      <w:r w:rsidRPr="00D43F63">
        <w:rPr>
          <w:b/>
          <w:bCs/>
          <w:szCs w:val="24"/>
        </w:rPr>
        <w:t xml:space="preserve">0. </w:t>
      </w:r>
      <w:r w:rsidR="00042930" w:rsidRPr="00D43F63">
        <w:rPr>
          <w:szCs w:val="24"/>
        </w:rPr>
        <w:t xml:space="preserve">Surinkus vienodą </w:t>
      </w:r>
      <w:r w:rsidR="00B548E0" w:rsidRPr="00D43F63">
        <w:rPr>
          <w:szCs w:val="24"/>
        </w:rPr>
        <w:t xml:space="preserve">prioritetinių </w:t>
      </w:r>
      <w:r w:rsidR="00042930" w:rsidRPr="00D43F63">
        <w:rPr>
          <w:szCs w:val="24"/>
        </w:rPr>
        <w:t>balų skaičių</w:t>
      </w:r>
      <w:r w:rsidR="00B548E0" w:rsidRPr="00D43F63">
        <w:rPr>
          <w:szCs w:val="24"/>
        </w:rPr>
        <w:t xml:space="preserve">, pirmumas teikiamas didesnį tvarumo vertinimo, </w:t>
      </w:r>
      <w:r w:rsidR="00042930" w:rsidRPr="00D43F63">
        <w:rPr>
          <w:szCs w:val="24"/>
        </w:rPr>
        <w:t>pagal žemės ūkio ministro patvirtintus Tvarumo kriterijus akvakultūros</w:t>
      </w:r>
      <w:r w:rsidR="00B548E0" w:rsidRPr="00D43F63">
        <w:rPr>
          <w:szCs w:val="24"/>
        </w:rPr>
        <w:t xml:space="preserve"> sektoriuje, rezultatą pasiekusiam projektui.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0"/>
        <w:gridCol w:w="8867"/>
      </w:tblGrid>
      <w:tr w:rsidR="00D43F63" w:rsidRPr="00D43F63" w14:paraId="052FCC37" w14:textId="77777777" w:rsidTr="00EF7E9B">
        <w:trPr>
          <w:trHeight w:val="908"/>
        </w:trPr>
        <w:tc>
          <w:tcPr>
            <w:tcW w:w="6260" w:type="dxa"/>
            <w:shd w:val="clear" w:color="auto" w:fill="auto"/>
          </w:tcPr>
          <w:p w14:paraId="4C2B7695" w14:textId="77777777" w:rsidR="00DF2F6F" w:rsidRPr="00D43F63" w:rsidRDefault="00DF2F6F" w:rsidP="00C07BC8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D43F63">
              <w:rPr>
                <w:szCs w:val="24"/>
              </w:rPr>
              <w:br w:type="page"/>
            </w:r>
            <w:r w:rsidRPr="00D43F63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D43F63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3A7111AA" w14:textId="2603AE12" w:rsidR="00DF2F6F" w:rsidRPr="00D43F63" w:rsidRDefault="00EB70EE" w:rsidP="00C07BC8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D43F63">
              <w:rPr>
                <w:b/>
                <w:bCs/>
                <w:szCs w:val="24"/>
                <w:lang w:eastAsia="lt-LT"/>
              </w:rPr>
              <w:t>x</w:t>
            </w:r>
            <w:r w:rsidR="00DF2F6F" w:rsidRPr="00D43F63">
              <w:rPr>
                <w:b/>
                <w:bCs/>
                <w:szCs w:val="24"/>
                <w:lang w:eastAsia="lt-LT"/>
              </w:rPr>
              <w:t xml:space="preserve"> PRIORITETINIS PROJEKTŲ ATRANKOS KRITERIJUS</w:t>
            </w:r>
          </w:p>
          <w:p w14:paraId="1EBF70F0" w14:textId="77777777" w:rsidR="00DF2F6F" w:rsidRPr="00D43F63" w:rsidRDefault="00DF2F6F" w:rsidP="00C07BC8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D43F63"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867" w:type="dxa"/>
            <w:shd w:val="clear" w:color="auto" w:fill="auto"/>
          </w:tcPr>
          <w:p w14:paraId="315C7A49" w14:textId="2CD8E5CE" w:rsidR="00DF2F6F" w:rsidRPr="00D43F63" w:rsidRDefault="00EB70EE" w:rsidP="00C07BC8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D43F63">
              <w:rPr>
                <w:b/>
                <w:bCs/>
                <w:szCs w:val="24"/>
                <w:lang w:eastAsia="lt-LT"/>
              </w:rPr>
              <w:t>x</w:t>
            </w:r>
            <w:r w:rsidR="00DF2F6F" w:rsidRPr="00D43F63"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43CC06DB" w14:textId="77777777" w:rsidR="00DF2F6F" w:rsidRPr="00D43F63" w:rsidRDefault="00DF2F6F" w:rsidP="00C07BC8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D43F63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D43F63"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D43F63" w:rsidRPr="00D43F63" w14:paraId="048F06E9" w14:textId="77777777" w:rsidTr="00EB70EE">
        <w:tc>
          <w:tcPr>
            <w:tcW w:w="6260" w:type="dxa"/>
            <w:shd w:val="clear" w:color="auto" w:fill="auto"/>
            <w:vAlign w:val="center"/>
          </w:tcPr>
          <w:p w14:paraId="15BA067E" w14:textId="77777777" w:rsidR="00DF2F6F" w:rsidRPr="00D43F63" w:rsidRDefault="00DF2F6F" w:rsidP="00C07BC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D43F63"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867" w:type="dxa"/>
            <w:shd w:val="clear" w:color="auto" w:fill="auto"/>
          </w:tcPr>
          <w:p w14:paraId="1C97BF35" w14:textId="0426DD2C" w:rsidR="00DF2F6F" w:rsidRPr="00D43F63" w:rsidRDefault="00005017" w:rsidP="00BA6B23">
            <w:pPr>
              <w:widowControl w:val="0"/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val="en-US" w:eastAsia="lt-LT"/>
              </w:rPr>
              <w:t>2.</w:t>
            </w:r>
            <w:r w:rsidR="00B93DDA" w:rsidRPr="00D43F63">
              <w:rPr>
                <w:bCs/>
                <w:iCs/>
                <w:szCs w:val="24"/>
                <w:lang w:val="en-US" w:eastAsia="lt-LT"/>
              </w:rPr>
              <w:t>1</w:t>
            </w:r>
            <w:r w:rsidR="00543FB7" w:rsidRPr="00D43F63">
              <w:rPr>
                <w:bCs/>
                <w:iCs/>
                <w:szCs w:val="24"/>
                <w:lang w:eastAsia="lt-LT"/>
              </w:rPr>
              <w:t xml:space="preserve">. </w:t>
            </w:r>
            <w:r w:rsidR="00BA6B23" w:rsidRPr="00D43F63">
              <w:rPr>
                <w:bCs/>
                <w:iCs/>
                <w:szCs w:val="24"/>
                <w:lang w:eastAsia="lt-LT"/>
              </w:rPr>
              <w:t>Pareiškėjo numatomas taikyti profilaktikos prieš žuvų ligas mastas:</w:t>
            </w:r>
          </w:p>
        </w:tc>
      </w:tr>
      <w:tr w:rsidR="00D43F63" w:rsidRPr="00D43F63" w14:paraId="79325A0C" w14:textId="77777777" w:rsidTr="00C1654F">
        <w:trPr>
          <w:trHeight w:val="2341"/>
        </w:trPr>
        <w:tc>
          <w:tcPr>
            <w:tcW w:w="6260" w:type="dxa"/>
            <w:shd w:val="clear" w:color="auto" w:fill="auto"/>
            <w:vAlign w:val="center"/>
          </w:tcPr>
          <w:p w14:paraId="7E08C406" w14:textId="77777777" w:rsidR="00DF2F6F" w:rsidRPr="00005017" w:rsidRDefault="00DF2F6F" w:rsidP="00C07BC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05017"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867" w:type="dxa"/>
            <w:shd w:val="clear" w:color="auto" w:fill="auto"/>
          </w:tcPr>
          <w:p w14:paraId="06401909" w14:textId="79BA74EF" w:rsidR="00BA6B23" w:rsidRPr="00005017" w:rsidRDefault="00BA6B23" w:rsidP="00BA6B23">
            <w:pPr>
              <w:widowControl w:val="0"/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  <w:r w:rsidRPr="00005017">
              <w:rPr>
                <w:bCs/>
                <w:iCs/>
                <w:szCs w:val="24"/>
                <w:lang w:eastAsia="lt-LT"/>
              </w:rPr>
              <w:t xml:space="preserve">1.1. pagal pateiktą kompetentingo subjekto rekomendaciją pareiškėjas projekte numato įsigyti ne mažiau kaip 60 proc. pasiūlytų profilaktikos priemonių – suteikiama </w:t>
            </w:r>
            <w:r w:rsidR="005E3130" w:rsidRPr="007F25FD">
              <w:rPr>
                <w:b/>
                <w:iCs/>
                <w:szCs w:val="24"/>
                <w:lang w:eastAsia="lt-LT"/>
              </w:rPr>
              <w:t xml:space="preserve">25 </w:t>
            </w:r>
            <w:r w:rsidRPr="007F25FD">
              <w:rPr>
                <w:b/>
                <w:iCs/>
                <w:szCs w:val="24"/>
                <w:lang w:eastAsia="lt-LT"/>
              </w:rPr>
              <w:t>balų</w:t>
            </w:r>
            <w:r w:rsidRPr="00005017">
              <w:rPr>
                <w:bCs/>
                <w:iCs/>
                <w:szCs w:val="24"/>
                <w:lang w:eastAsia="lt-LT"/>
              </w:rPr>
              <w:t>;</w:t>
            </w:r>
          </w:p>
          <w:p w14:paraId="739FE6D6" w14:textId="4C91511D" w:rsidR="00BA6B23" w:rsidRPr="00005017" w:rsidRDefault="00BA6B23" w:rsidP="00BA6B23">
            <w:pPr>
              <w:widowControl w:val="0"/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  <w:r w:rsidRPr="00005017">
              <w:rPr>
                <w:bCs/>
                <w:iCs/>
                <w:szCs w:val="24"/>
                <w:lang w:eastAsia="lt-LT"/>
              </w:rPr>
              <w:t xml:space="preserve">1.2. pagal pateiktą kompetentingo subjekto rekomendaciją pareiškėjas projekte numato įsigyti ne mažiau kaip 70 proc. pasiūlytų profilaktikos priemonių – suteikiama </w:t>
            </w:r>
            <w:r w:rsidRPr="007F25FD">
              <w:rPr>
                <w:b/>
                <w:iCs/>
                <w:szCs w:val="24"/>
                <w:lang w:eastAsia="lt-LT"/>
              </w:rPr>
              <w:t>30 balų</w:t>
            </w:r>
            <w:r w:rsidRPr="00005017">
              <w:rPr>
                <w:bCs/>
                <w:iCs/>
                <w:szCs w:val="24"/>
                <w:lang w:eastAsia="lt-LT"/>
              </w:rPr>
              <w:t>;</w:t>
            </w:r>
          </w:p>
          <w:p w14:paraId="75AA0ED5" w14:textId="0124F721" w:rsidR="00BA6B23" w:rsidRPr="00005017" w:rsidRDefault="00BA6B23" w:rsidP="00BA6B23">
            <w:pPr>
              <w:widowControl w:val="0"/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  <w:r w:rsidRPr="00005017">
              <w:rPr>
                <w:bCs/>
                <w:iCs/>
                <w:szCs w:val="24"/>
                <w:lang w:eastAsia="lt-LT"/>
              </w:rPr>
              <w:t xml:space="preserve">1.3. pagal pateiktą kompetentingo subjekto rekomendaciją pareiškėjas projekte numato įsigyti ne mažiau kaip 80 proc. pasiūlytų profilaktikos priemonių – suteikiama </w:t>
            </w:r>
            <w:r w:rsidR="005E3130" w:rsidRPr="007F25FD">
              <w:rPr>
                <w:b/>
                <w:iCs/>
                <w:szCs w:val="24"/>
                <w:lang w:eastAsia="lt-LT"/>
              </w:rPr>
              <w:t xml:space="preserve">35 </w:t>
            </w:r>
            <w:r w:rsidRPr="007F25FD">
              <w:rPr>
                <w:b/>
                <w:iCs/>
                <w:szCs w:val="24"/>
                <w:lang w:eastAsia="lt-LT"/>
              </w:rPr>
              <w:t>balų</w:t>
            </w:r>
            <w:r w:rsidRPr="00005017">
              <w:rPr>
                <w:bCs/>
                <w:iCs/>
                <w:szCs w:val="24"/>
                <w:lang w:eastAsia="lt-LT"/>
              </w:rPr>
              <w:t>;</w:t>
            </w:r>
          </w:p>
          <w:p w14:paraId="29DC082C" w14:textId="02295BAC" w:rsidR="00DF2F6F" w:rsidRPr="00005017" w:rsidRDefault="00BA6B23" w:rsidP="00BA6B23">
            <w:pPr>
              <w:overflowPunct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 w:rsidRPr="00005017">
              <w:rPr>
                <w:bCs/>
                <w:iCs/>
                <w:szCs w:val="24"/>
                <w:lang w:eastAsia="lt-LT"/>
              </w:rPr>
              <w:t xml:space="preserve">1.4.pagal pateiktą kompetentingo subjekto rekomendaciją pareiškėjas projekte numato įsigyti ne mažiau kaip 90 proc. pasiūlytų profilaktikos priemonių – suteikiama </w:t>
            </w:r>
            <w:r w:rsidR="005E3130" w:rsidRPr="007F25FD">
              <w:rPr>
                <w:b/>
                <w:iCs/>
                <w:szCs w:val="24"/>
                <w:lang w:eastAsia="lt-LT"/>
              </w:rPr>
              <w:t xml:space="preserve">40 </w:t>
            </w:r>
            <w:r w:rsidRPr="007F25FD">
              <w:rPr>
                <w:b/>
                <w:iCs/>
                <w:szCs w:val="24"/>
                <w:lang w:eastAsia="lt-LT"/>
              </w:rPr>
              <w:t>balų</w:t>
            </w:r>
            <w:r w:rsidRPr="00005017">
              <w:rPr>
                <w:bCs/>
                <w:iCs/>
                <w:szCs w:val="24"/>
                <w:lang w:eastAsia="lt-LT"/>
              </w:rPr>
              <w:t>.</w:t>
            </w:r>
          </w:p>
        </w:tc>
      </w:tr>
      <w:tr w:rsidR="00EB70EE" w:rsidRPr="00D43F63" w14:paraId="0126A534" w14:textId="77777777" w:rsidTr="00EB70EE">
        <w:tc>
          <w:tcPr>
            <w:tcW w:w="6260" w:type="dxa"/>
            <w:shd w:val="clear" w:color="auto" w:fill="auto"/>
            <w:vAlign w:val="center"/>
          </w:tcPr>
          <w:p w14:paraId="1BB564F0" w14:textId="77777777" w:rsidR="00EB70EE" w:rsidRPr="00005017" w:rsidRDefault="00EB70EE" w:rsidP="00EB70EE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05017"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867" w:type="dxa"/>
            <w:shd w:val="clear" w:color="auto" w:fill="auto"/>
          </w:tcPr>
          <w:p w14:paraId="18EE184B" w14:textId="24DAD99C" w:rsidR="00EB70EE" w:rsidRPr="00005017" w:rsidRDefault="006A7D7B" w:rsidP="00BA6B23">
            <w:pPr>
              <w:tabs>
                <w:tab w:val="left" w:pos="598"/>
              </w:tabs>
              <w:jc w:val="both"/>
              <w:rPr>
                <w:bCs/>
                <w:iCs/>
                <w:szCs w:val="24"/>
                <w:lang w:eastAsia="lt-LT"/>
              </w:rPr>
            </w:pPr>
            <w:r w:rsidRPr="00005017">
              <w:rPr>
                <w:bCs/>
                <w:iCs/>
                <w:szCs w:val="24"/>
                <w:lang w:eastAsia="lt-LT"/>
              </w:rPr>
              <w:t xml:space="preserve">Kriterijus nustatomas atsižvelgiant į Programoje nustatytus tikslus ir prioritetus: </w:t>
            </w:r>
            <w:r w:rsidRPr="00005017">
              <w:rPr>
                <w:b/>
                <w:iCs/>
                <w:szCs w:val="24"/>
                <w:lang w:eastAsia="lt-LT"/>
              </w:rPr>
              <w:t>„</w:t>
            </w:r>
            <w:r w:rsidRPr="00005017">
              <w:rPr>
                <w:bCs/>
                <w:iCs/>
                <w:szCs w:val="24"/>
                <w:lang w:eastAsia="lt-LT"/>
              </w:rPr>
              <w:t>skatinti akvakultūrą, kurią plėtojant užtikrinama gyvūnų sveikata bei gerovė</w:t>
            </w:r>
            <w:r w:rsidRPr="00005017">
              <w:rPr>
                <w:b/>
                <w:iCs/>
                <w:szCs w:val="24"/>
                <w:lang w:eastAsia="lt-LT"/>
              </w:rPr>
              <w:t>,</w:t>
            </w:r>
            <w:r w:rsidRPr="00005017">
              <w:rPr>
                <w:bCs/>
                <w:iCs/>
                <w:szCs w:val="24"/>
                <w:lang w:eastAsia="lt-LT"/>
              </w:rPr>
              <w:t xml:space="preserve"> </w:t>
            </w:r>
            <w:r w:rsidRPr="00005017">
              <w:rPr>
                <w:b/>
                <w:iCs/>
                <w:szCs w:val="24"/>
                <w:lang w:eastAsia="lt-LT"/>
              </w:rPr>
              <w:t>užtikrinamos ligų valdymui reikalingos prevencinės priemonės, mažinamas veterinarinių vaistų naudojimo poreikis.</w:t>
            </w:r>
            <w:r w:rsidRPr="00005017">
              <w:rPr>
                <w:bCs/>
                <w:iCs/>
                <w:szCs w:val="24"/>
                <w:lang w:eastAsia="lt-LT"/>
              </w:rPr>
              <w:t xml:space="preserve"> </w:t>
            </w:r>
            <w:r w:rsidR="00BA6B23" w:rsidRPr="00005017">
              <w:rPr>
                <w:bCs/>
                <w:iCs/>
                <w:szCs w:val="24"/>
                <w:lang w:eastAsia="lt-LT"/>
              </w:rPr>
              <w:t xml:space="preserve">Didesnis taikomų profilaktikos priemonių mastas daugiau prisidės prie priemonės tikslų. </w:t>
            </w:r>
          </w:p>
        </w:tc>
      </w:tr>
    </w:tbl>
    <w:p w14:paraId="7D705115" w14:textId="28AFC8F8" w:rsidR="00DF2F6F" w:rsidRPr="00D43F63" w:rsidRDefault="00DF2F6F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0"/>
        <w:gridCol w:w="8867"/>
      </w:tblGrid>
      <w:tr w:rsidR="00D43F63" w:rsidRPr="00D43F63" w14:paraId="39F23F2B" w14:textId="77777777" w:rsidTr="00EF7E9B">
        <w:trPr>
          <w:trHeight w:val="924"/>
        </w:trPr>
        <w:tc>
          <w:tcPr>
            <w:tcW w:w="6260" w:type="dxa"/>
            <w:shd w:val="clear" w:color="auto" w:fill="auto"/>
          </w:tcPr>
          <w:p w14:paraId="01487AF5" w14:textId="77777777" w:rsidR="00FB5093" w:rsidRPr="00D43F63" w:rsidRDefault="00FB5093" w:rsidP="0074025C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D43F63">
              <w:rPr>
                <w:szCs w:val="24"/>
              </w:rPr>
              <w:br w:type="page"/>
            </w:r>
            <w:r w:rsidRPr="00D43F63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D43F63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54A1C89E" w14:textId="77777777" w:rsidR="00FB5093" w:rsidRPr="00D43F63" w:rsidRDefault="00FB5093" w:rsidP="0074025C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D43F63">
              <w:rPr>
                <w:b/>
                <w:bCs/>
                <w:szCs w:val="24"/>
                <w:lang w:eastAsia="lt-LT"/>
              </w:rPr>
              <w:t>x PRIORITETINIS PROJEKTŲ ATRANKOS KRITERIJUS</w:t>
            </w:r>
          </w:p>
          <w:p w14:paraId="5D9A3768" w14:textId="77777777" w:rsidR="00FB5093" w:rsidRPr="00D43F63" w:rsidRDefault="00FB5093" w:rsidP="0074025C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D43F63"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867" w:type="dxa"/>
            <w:shd w:val="clear" w:color="auto" w:fill="auto"/>
          </w:tcPr>
          <w:p w14:paraId="004C6634" w14:textId="77777777" w:rsidR="00FB5093" w:rsidRPr="00D43F63" w:rsidRDefault="00FB5093" w:rsidP="0074025C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D43F63">
              <w:rPr>
                <w:b/>
                <w:bCs/>
                <w:szCs w:val="24"/>
                <w:lang w:eastAsia="lt-LT"/>
              </w:rPr>
              <w:t>x Nustatymas</w:t>
            </w:r>
          </w:p>
          <w:p w14:paraId="0DF98F11" w14:textId="77777777" w:rsidR="00FB5093" w:rsidRPr="00D43F63" w:rsidRDefault="00FB5093" w:rsidP="0074025C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D43F63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D43F63"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D43F63" w:rsidRPr="00D43F63" w14:paraId="03268B3B" w14:textId="77777777" w:rsidTr="0074025C">
        <w:tc>
          <w:tcPr>
            <w:tcW w:w="6260" w:type="dxa"/>
            <w:shd w:val="clear" w:color="auto" w:fill="auto"/>
            <w:vAlign w:val="center"/>
          </w:tcPr>
          <w:p w14:paraId="1D6E1B1D" w14:textId="77777777" w:rsidR="00EF7E9B" w:rsidRPr="00D43F63" w:rsidRDefault="00EF7E9B" w:rsidP="00EF7E9B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D43F63"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867" w:type="dxa"/>
            <w:shd w:val="clear" w:color="auto" w:fill="auto"/>
          </w:tcPr>
          <w:p w14:paraId="2412DFF5" w14:textId="25510025" w:rsidR="00EF7E9B" w:rsidRPr="00D43F63" w:rsidRDefault="00005017" w:rsidP="00EF7E9B">
            <w:pPr>
              <w:widowControl w:val="0"/>
              <w:jc w:val="both"/>
              <w:textAlignment w:val="baseline"/>
              <w:rPr>
                <w:b/>
                <w:bCs/>
                <w:i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val="en-US" w:eastAsia="lt-LT"/>
              </w:rPr>
              <w:t>2.</w:t>
            </w:r>
            <w:r w:rsidR="00EF7E9B" w:rsidRPr="00D43F63">
              <w:rPr>
                <w:bCs/>
                <w:iCs/>
                <w:szCs w:val="24"/>
                <w:lang w:val="en-US" w:eastAsia="lt-LT"/>
              </w:rPr>
              <w:t>2</w:t>
            </w:r>
            <w:r w:rsidR="00EF7E9B" w:rsidRPr="00D43F63">
              <w:rPr>
                <w:bCs/>
                <w:iCs/>
                <w:szCs w:val="24"/>
                <w:lang w:eastAsia="lt-LT"/>
              </w:rPr>
              <w:t xml:space="preserve">. </w:t>
            </w:r>
            <w:r w:rsidR="004E4ABD" w:rsidRPr="00D43F63">
              <w:rPr>
                <w:bCs/>
                <w:iCs/>
                <w:szCs w:val="24"/>
                <w:lang w:eastAsia="lt-LT"/>
              </w:rPr>
              <w:t xml:space="preserve">Projektu sprendžiamos </w:t>
            </w:r>
            <w:r w:rsidR="008A45F6" w:rsidRPr="00D43F63">
              <w:rPr>
                <w:bCs/>
                <w:iCs/>
                <w:szCs w:val="24"/>
                <w:lang w:eastAsia="lt-LT"/>
              </w:rPr>
              <w:t>svarbesnės</w:t>
            </w:r>
            <w:r w:rsidR="007436BB" w:rsidRPr="00D43F63">
              <w:rPr>
                <w:bCs/>
                <w:iCs/>
                <w:szCs w:val="24"/>
                <w:lang w:eastAsia="lt-LT"/>
              </w:rPr>
              <w:t xml:space="preserve"> </w:t>
            </w:r>
            <w:r w:rsidR="004E4ABD" w:rsidRPr="00D43F63">
              <w:rPr>
                <w:bCs/>
                <w:iCs/>
                <w:szCs w:val="24"/>
                <w:lang w:eastAsia="lt-LT"/>
              </w:rPr>
              <w:t>žuvų l</w:t>
            </w:r>
            <w:r w:rsidR="00A015BC" w:rsidRPr="00D43F63">
              <w:rPr>
                <w:bCs/>
                <w:iCs/>
                <w:szCs w:val="24"/>
                <w:lang w:eastAsia="lt-LT"/>
              </w:rPr>
              <w:t>i</w:t>
            </w:r>
            <w:r w:rsidR="004E4ABD" w:rsidRPr="00D43F63">
              <w:rPr>
                <w:bCs/>
                <w:iCs/>
                <w:szCs w:val="24"/>
                <w:lang w:eastAsia="lt-LT"/>
              </w:rPr>
              <w:t>gų profilaktikos problemos</w:t>
            </w:r>
          </w:p>
        </w:tc>
      </w:tr>
      <w:tr w:rsidR="00D43F63" w:rsidRPr="00D43F63" w14:paraId="092EEE95" w14:textId="77777777" w:rsidTr="0074025C">
        <w:tc>
          <w:tcPr>
            <w:tcW w:w="6260" w:type="dxa"/>
            <w:shd w:val="clear" w:color="auto" w:fill="auto"/>
            <w:vAlign w:val="center"/>
          </w:tcPr>
          <w:p w14:paraId="78B80603" w14:textId="77777777" w:rsidR="00EF7E9B" w:rsidRPr="00D43F63" w:rsidRDefault="00EF7E9B" w:rsidP="00EF7E9B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D43F63">
              <w:rPr>
                <w:b/>
                <w:bCs/>
                <w:szCs w:val="24"/>
                <w:lang w:eastAsia="lt-LT"/>
              </w:rPr>
              <w:lastRenderedPageBreak/>
              <w:t>Projektų atrankos kriterijaus vertinimo metodas ir taikymas</w:t>
            </w:r>
          </w:p>
        </w:tc>
        <w:tc>
          <w:tcPr>
            <w:tcW w:w="8867" w:type="dxa"/>
            <w:shd w:val="clear" w:color="auto" w:fill="auto"/>
          </w:tcPr>
          <w:p w14:paraId="46CB880B" w14:textId="09A86470" w:rsidR="00EF7E9B" w:rsidRPr="00D43F63" w:rsidRDefault="004E4ABD" w:rsidP="00B021C0">
            <w:pPr>
              <w:overflowPunct w:val="0"/>
              <w:ind w:firstLine="851"/>
              <w:jc w:val="both"/>
              <w:textAlignment w:val="baseline"/>
            </w:pPr>
            <w:r w:rsidRPr="00D43F63">
              <w:t xml:space="preserve">Pareiškėjas yra </w:t>
            </w:r>
            <w:r w:rsidR="00B021C0" w:rsidRPr="00D43F63">
              <w:t>p</w:t>
            </w:r>
            <w:r w:rsidRPr="00D43F63">
              <w:t>ramoninis akvakultūros tvenkinių ūkis (kaip nustatyta Žuvininkystės įstatyme) arba</w:t>
            </w:r>
            <w:r w:rsidR="00B021C0" w:rsidRPr="00D43F63">
              <w:t xml:space="preserve"> akva</w:t>
            </w:r>
            <w:r w:rsidR="00B021C0" w:rsidRPr="00005017">
              <w:t>kultūros įmones vienijanti asociacija (įskaitant GO) arba viešojo sektoriaus subjektas</w:t>
            </w:r>
            <w:r w:rsidRPr="00005017">
              <w:t xml:space="preserve"> – </w:t>
            </w:r>
            <w:r w:rsidRPr="00005017">
              <w:rPr>
                <w:b/>
                <w:bCs/>
              </w:rPr>
              <w:t xml:space="preserve">suteikiama </w:t>
            </w:r>
            <w:r w:rsidR="00654FE8" w:rsidRPr="00005017">
              <w:rPr>
                <w:b/>
                <w:bCs/>
              </w:rPr>
              <w:t>2</w:t>
            </w:r>
            <w:r w:rsidRPr="00005017">
              <w:rPr>
                <w:b/>
                <w:bCs/>
              </w:rPr>
              <w:t>0 balų</w:t>
            </w:r>
            <w:r w:rsidR="00B021C0" w:rsidRPr="00005017">
              <w:rPr>
                <w:b/>
                <w:bCs/>
              </w:rPr>
              <w:t>;</w:t>
            </w:r>
          </w:p>
        </w:tc>
      </w:tr>
      <w:tr w:rsidR="00EF7E9B" w:rsidRPr="00005017" w14:paraId="6F6D2507" w14:textId="77777777" w:rsidTr="00641D3A">
        <w:trPr>
          <w:trHeight w:val="1124"/>
        </w:trPr>
        <w:tc>
          <w:tcPr>
            <w:tcW w:w="6260" w:type="dxa"/>
            <w:shd w:val="clear" w:color="auto" w:fill="auto"/>
            <w:vAlign w:val="center"/>
          </w:tcPr>
          <w:p w14:paraId="688382C6" w14:textId="77777777" w:rsidR="00EF7E9B" w:rsidRPr="00005017" w:rsidRDefault="00EF7E9B" w:rsidP="00EF7E9B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05017"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867" w:type="dxa"/>
            <w:shd w:val="clear" w:color="auto" w:fill="auto"/>
          </w:tcPr>
          <w:p w14:paraId="183CCC0F" w14:textId="7E57F2D5" w:rsidR="00EF7E9B" w:rsidRPr="00005017" w:rsidRDefault="00B021C0" w:rsidP="005D1B74">
            <w:pPr>
              <w:tabs>
                <w:tab w:val="left" w:pos="598"/>
              </w:tabs>
              <w:ind w:firstLine="851"/>
              <w:jc w:val="both"/>
              <w:rPr>
                <w:bCs/>
                <w:iCs/>
                <w:szCs w:val="24"/>
                <w:lang w:eastAsia="lt-LT"/>
              </w:rPr>
            </w:pPr>
            <w:r w:rsidRPr="00005017">
              <w:rPr>
                <w:bCs/>
                <w:iCs/>
                <w:szCs w:val="24"/>
                <w:lang w:eastAsia="lt-LT"/>
              </w:rPr>
              <w:t xml:space="preserve">Atsižvelgiant į Programoje pateiktą SSGG </w:t>
            </w:r>
            <w:r w:rsidR="00A37499" w:rsidRPr="00005017">
              <w:rPr>
                <w:bCs/>
                <w:iCs/>
                <w:szCs w:val="24"/>
                <w:lang w:eastAsia="lt-LT"/>
              </w:rPr>
              <w:t xml:space="preserve">(identifikuotos grėsmės dėl žuvų susirgimų infekcinėmis ir invazinėmis ligomis (taip pat ir paukščių platinamomis) </w:t>
            </w:r>
            <w:r w:rsidR="005D1B74" w:rsidRPr="00005017">
              <w:rPr>
                <w:bCs/>
                <w:iCs/>
                <w:szCs w:val="24"/>
                <w:lang w:eastAsia="lt-LT"/>
              </w:rPr>
              <w:t xml:space="preserve"> </w:t>
            </w:r>
            <w:r w:rsidR="00A37499" w:rsidRPr="00005017">
              <w:rPr>
                <w:bCs/>
                <w:iCs/>
                <w:szCs w:val="24"/>
                <w:lang w:eastAsia="lt-LT"/>
              </w:rPr>
              <w:t>atsiradim</w:t>
            </w:r>
            <w:r w:rsidR="005D1B74" w:rsidRPr="00005017">
              <w:rPr>
                <w:bCs/>
                <w:iCs/>
                <w:szCs w:val="24"/>
                <w:lang w:eastAsia="lt-LT"/>
              </w:rPr>
              <w:t>o</w:t>
            </w:r>
            <w:r w:rsidR="00A37499" w:rsidRPr="00005017">
              <w:rPr>
                <w:bCs/>
                <w:iCs/>
                <w:szCs w:val="24"/>
                <w:lang w:eastAsia="lt-LT"/>
              </w:rPr>
              <w:t xml:space="preserve"> ir paplitim</w:t>
            </w:r>
            <w:r w:rsidR="005D1B74" w:rsidRPr="00005017">
              <w:rPr>
                <w:bCs/>
                <w:iCs/>
                <w:szCs w:val="24"/>
                <w:lang w:eastAsia="lt-LT"/>
              </w:rPr>
              <w:t>o, kurios aktualesnės akvakultūros tvenkinių ūkiams, jiems sunkiau jas kontroliuoti ir užkardyti)</w:t>
            </w:r>
            <w:r w:rsidR="00A37499" w:rsidRPr="00005017">
              <w:rPr>
                <w:bCs/>
                <w:iCs/>
                <w:szCs w:val="24"/>
                <w:lang w:eastAsia="lt-LT"/>
              </w:rPr>
              <w:t xml:space="preserve"> </w:t>
            </w:r>
            <w:r w:rsidRPr="00005017">
              <w:rPr>
                <w:bCs/>
                <w:iCs/>
                <w:szCs w:val="24"/>
                <w:lang w:eastAsia="lt-LT"/>
              </w:rPr>
              <w:t xml:space="preserve">ir nustatytus poreikius, taip pat pastarųjų metų </w:t>
            </w:r>
            <w:r w:rsidR="005D1B74" w:rsidRPr="00005017">
              <w:rPr>
                <w:bCs/>
                <w:iCs/>
                <w:szCs w:val="24"/>
                <w:lang w:eastAsia="lt-LT"/>
              </w:rPr>
              <w:t>statistiką (</w:t>
            </w:r>
            <w:r w:rsidRPr="00005017">
              <w:rPr>
                <w:bCs/>
                <w:iCs/>
                <w:szCs w:val="24"/>
                <w:lang w:eastAsia="lt-LT"/>
              </w:rPr>
              <w:t xml:space="preserve"> tvenkinių akvakultūros įmonės susiduria su didelėmis problemomis dėl mažėjančių gamybos išeigų dėl žuvų ligų</w:t>
            </w:r>
            <w:r w:rsidR="005D1B74" w:rsidRPr="00005017">
              <w:rPr>
                <w:bCs/>
                <w:iCs/>
                <w:szCs w:val="24"/>
                <w:lang w:eastAsia="lt-LT"/>
              </w:rPr>
              <w:t xml:space="preserve">), laikytina, kad akvakultūros tvenkinių ūkiai susiduria su didesne rizika, todėl žuvų ligų profilaktikos priemonės </w:t>
            </w:r>
            <w:r w:rsidR="005E3130" w:rsidRPr="00005017">
              <w:rPr>
                <w:bCs/>
                <w:iCs/>
                <w:szCs w:val="24"/>
                <w:lang w:eastAsia="lt-LT"/>
              </w:rPr>
              <w:t xml:space="preserve">jiems yra šiek tiek būtinesnės.  </w:t>
            </w:r>
            <w:r w:rsidRPr="00005017">
              <w:rPr>
                <w:bCs/>
                <w:iCs/>
                <w:szCs w:val="24"/>
                <w:lang w:eastAsia="lt-LT"/>
              </w:rPr>
              <w:t>Numatoma, kad asociacijų (įskaitant GO) ar viešojo sektoriaus subjekt</w:t>
            </w:r>
            <w:r w:rsidR="00641D3A" w:rsidRPr="00005017">
              <w:rPr>
                <w:bCs/>
                <w:iCs/>
                <w:szCs w:val="24"/>
                <w:lang w:eastAsia="lt-LT"/>
              </w:rPr>
              <w:t>ų</w:t>
            </w:r>
            <w:r w:rsidRPr="00005017">
              <w:rPr>
                <w:bCs/>
                <w:iCs/>
                <w:szCs w:val="24"/>
                <w:lang w:eastAsia="lt-LT"/>
              </w:rPr>
              <w:t xml:space="preserve"> projektai bus </w:t>
            </w:r>
            <w:r w:rsidR="00641D3A" w:rsidRPr="00005017">
              <w:rPr>
                <w:bCs/>
                <w:iCs/>
                <w:szCs w:val="24"/>
                <w:lang w:eastAsia="lt-LT"/>
              </w:rPr>
              <w:t>aktualus didesniam skaičiui akvakultūros įmonių</w:t>
            </w:r>
            <w:r w:rsidR="005E3130" w:rsidRPr="00005017">
              <w:rPr>
                <w:bCs/>
                <w:iCs/>
                <w:szCs w:val="24"/>
                <w:lang w:eastAsia="lt-LT"/>
              </w:rPr>
              <w:t xml:space="preserve">, todėl laikoma, kad didesniam galutinių naudos gavėjų skaičiui aktualūs projektai taip pat yra šiek tiek reikšmingesni, nei vienai akvakultūros įmonei aktualus projektas.  </w:t>
            </w:r>
          </w:p>
        </w:tc>
      </w:tr>
    </w:tbl>
    <w:p w14:paraId="0C0A46BD" w14:textId="77777777" w:rsidR="00FB5093" w:rsidRPr="00005017" w:rsidRDefault="00FB5093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0"/>
        <w:gridCol w:w="8867"/>
      </w:tblGrid>
      <w:tr w:rsidR="00005017" w:rsidRPr="00005017" w14:paraId="0165FFD7" w14:textId="77777777" w:rsidTr="00EF7E9B">
        <w:trPr>
          <w:trHeight w:val="913"/>
        </w:trPr>
        <w:tc>
          <w:tcPr>
            <w:tcW w:w="6260" w:type="dxa"/>
            <w:shd w:val="clear" w:color="auto" w:fill="auto"/>
          </w:tcPr>
          <w:p w14:paraId="25EBB095" w14:textId="77777777" w:rsidR="00DC771F" w:rsidRPr="00005017" w:rsidRDefault="00DC771F" w:rsidP="0074025C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05017">
              <w:rPr>
                <w:szCs w:val="24"/>
              </w:rPr>
              <w:br w:type="page"/>
            </w:r>
            <w:r w:rsidRPr="00005017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005017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5DE21BDE" w14:textId="77777777" w:rsidR="00DC771F" w:rsidRPr="00005017" w:rsidRDefault="00DC771F" w:rsidP="0074025C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05017">
              <w:rPr>
                <w:b/>
                <w:bCs/>
                <w:szCs w:val="24"/>
                <w:lang w:eastAsia="lt-LT"/>
              </w:rPr>
              <w:t>x PRIORITETINIS PROJEKTŲ ATRANKOS KRITERIJUS</w:t>
            </w:r>
          </w:p>
          <w:p w14:paraId="46540863" w14:textId="77777777" w:rsidR="00DC771F" w:rsidRPr="00005017" w:rsidRDefault="00DC771F" w:rsidP="0074025C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05017"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867" w:type="dxa"/>
            <w:shd w:val="clear" w:color="auto" w:fill="auto"/>
          </w:tcPr>
          <w:p w14:paraId="20D297A8" w14:textId="77777777" w:rsidR="00DC771F" w:rsidRPr="00005017" w:rsidRDefault="00DC771F" w:rsidP="0074025C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05017">
              <w:rPr>
                <w:b/>
                <w:bCs/>
                <w:szCs w:val="24"/>
                <w:lang w:eastAsia="lt-LT"/>
              </w:rPr>
              <w:t>x Nustatymas</w:t>
            </w:r>
          </w:p>
          <w:p w14:paraId="4A10CBC4" w14:textId="77777777" w:rsidR="00DC771F" w:rsidRPr="00005017" w:rsidRDefault="00DC771F" w:rsidP="0074025C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005017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005017"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005017" w:rsidRPr="00005017" w14:paraId="53054C5E" w14:textId="77777777" w:rsidTr="0074025C">
        <w:tc>
          <w:tcPr>
            <w:tcW w:w="6260" w:type="dxa"/>
            <w:shd w:val="clear" w:color="auto" w:fill="auto"/>
            <w:vAlign w:val="center"/>
          </w:tcPr>
          <w:p w14:paraId="41148238" w14:textId="77777777" w:rsidR="00EF7E9B" w:rsidRPr="00005017" w:rsidRDefault="00EF7E9B" w:rsidP="00EF7E9B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05017"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867" w:type="dxa"/>
            <w:shd w:val="clear" w:color="auto" w:fill="auto"/>
          </w:tcPr>
          <w:p w14:paraId="4AD47124" w14:textId="418BF8CD" w:rsidR="00EF7E9B" w:rsidRPr="00005017" w:rsidRDefault="00005017" w:rsidP="00654FE8">
            <w:pPr>
              <w:widowControl w:val="0"/>
              <w:jc w:val="both"/>
              <w:textAlignment w:val="baseline"/>
              <w:rPr>
                <w:bCs/>
                <w:iCs/>
                <w:szCs w:val="24"/>
                <w:lang w:val="en-US" w:eastAsia="lt-LT"/>
              </w:rPr>
            </w:pPr>
            <w:r>
              <w:rPr>
                <w:bCs/>
                <w:iCs/>
                <w:szCs w:val="24"/>
                <w:lang w:val="en-US" w:eastAsia="lt-LT"/>
              </w:rPr>
              <w:t>2.</w:t>
            </w:r>
            <w:r w:rsidR="00EF7E9B" w:rsidRPr="00005017">
              <w:rPr>
                <w:bCs/>
                <w:iCs/>
                <w:szCs w:val="24"/>
                <w:lang w:val="en-US" w:eastAsia="lt-LT"/>
              </w:rPr>
              <w:t>3</w:t>
            </w:r>
            <w:r w:rsidR="00EF7E9B" w:rsidRPr="00005017">
              <w:rPr>
                <w:bCs/>
                <w:iCs/>
                <w:szCs w:val="24"/>
                <w:lang w:eastAsia="lt-LT"/>
              </w:rPr>
              <w:t xml:space="preserve">. </w:t>
            </w:r>
            <w:r w:rsidR="00654FE8" w:rsidRPr="00005017">
              <w:rPr>
                <w:bCs/>
                <w:iCs/>
                <w:szCs w:val="24"/>
                <w:lang w:eastAsia="lt-LT"/>
              </w:rPr>
              <w:t xml:space="preserve">Projekte </w:t>
            </w:r>
            <w:r w:rsidR="0038410A" w:rsidRPr="00005017">
              <w:rPr>
                <w:bCs/>
                <w:iCs/>
                <w:szCs w:val="24"/>
                <w:lang w:eastAsia="lt-LT"/>
              </w:rPr>
              <w:t>numatyt</w:t>
            </w:r>
            <w:r w:rsidR="00FD1A66" w:rsidRPr="00005017">
              <w:rPr>
                <w:bCs/>
                <w:iCs/>
                <w:szCs w:val="24"/>
                <w:lang w:eastAsia="lt-LT"/>
              </w:rPr>
              <w:t xml:space="preserve">os </w:t>
            </w:r>
            <w:r w:rsidR="00654FE8" w:rsidRPr="00005017">
              <w:rPr>
                <w:bCs/>
                <w:iCs/>
                <w:szCs w:val="24"/>
                <w:lang w:eastAsia="lt-LT"/>
              </w:rPr>
              <w:t xml:space="preserve">įgyvendinti </w:t>
            </w:r>
            <w:r w:rsidR="00FD1A66" w:rsidRPr="00005017">
              <w:rPr>
                <w:bCs/>
                <w:iCs/>
                <w:szCs w:val="24"/>
                <w:lang w:eastAsia="lt-LT"/>
              </w:rPr>
              <w:t>g</w:t>
            </w:r>
            <w:r w:rsidR="0038410A" w:rsidRPr="00005017">
              <w:rPr>
                <w:bCs/>
                <w:iCs/>
                <w:szCs w:val="24"/>
                <w:lang w:eastAsia="lt-LT"/>
              </w:rPr>
              <w:t xml:space="preserve">yvūnų gerovės priemonės, kuriomis mažinamas </w:t>
            </w:r>
            <w:r w:rsidR="00FD1A66" w:rsidRPr="00005017">
              <w:rPr>
                <w:bCs/>
                <w:iCs/>
                <w:szCs w:val="24"/>
                <w:lang w:eastAsia="lt-LT"/>
              </w:rPr>
              <w:t>veterinarinių vaistų naudojimo poreikis</w:t>
            </w:r>
            <w:r w:rsidR="008A45F6" w:rsidRPr="00005017">
              <w:rPr>
                <w:bCs/>
                <w:iCs/>
                <w:szCs w:val="24"/>
                <w:lang w:eastAsia="lt-LT"/>
              </w:rPr>
              <w:t>.</w:t>
            </w:r>
            <w:r w:rsidR="0038410A" w:rsidRPr="00005017">
              <w:rPr>
                <w:bCs/>
                <w:iCs/>
                <w:szCs w:val="24"/>
                <w:lang w:eastAsia="lt-LT"/>
              </w:rPr>
              <w:t xml:space="preserve"> </w:t>
            </w:r>
          </w:p>
        </w:tc>
      </w:tr>
      <w:tr w:rsidR="00005017" w:rsidRPr="00005017" w14:paraId="43123068" w14:textId="77777777" w:rsidTr="0074025C">
        <w:tc>
          <w:tcPr>
            <w:tcW w:w="6260" w:type="dxa"/>
            <w:shd w:val="clear" w:color="auto" w:fill="auto"/>
            <w:vAlign w:val="center"/>
          </w:tcPr>
          <w:p w14:paraId="0D4F8745" w14:textId="77777777" w:rsidR="00EF7E9B" w:rsidRPr="00005017" w:rsidRDefault="00EF7E9B" w:rsidP="00EF7E9B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05017"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867" w:type="dxa"/>
            <w:shd w:val="clear" w:color="auto" w:fill="auto"/>
          </w:tcPr>
          <w:p w14:paraId="3F0522BB" w14:textId="28652829" w:rsidR="00EF7E9B" w:rsidRPr="00005017" w:rsidRDefault="00EF7E9B" w:rsidP="00EF7E9B">
            <w:pPr>
              <w:overflowPunct w:val="0"/>
              <w:ind w:firstLine="851"/>
              <w:jc w:val="both"/>
              <w:textAlignment w:val="baseline"/>
              <w:rPr>
                <w:bCs/>
                <w:szCs w:val="24"/>
                <w:lang w:eastAsia="lt-LT"/>
              </w:rPr>
            </w:pPr>
            <w:r w:rsidRPr="00005017">
              <w:rPr>
                <w:szCs w:val="24"/>
                <w:lang w:eastAsia="lt-LT"/>
              </w:rPr>
              <w:t xml:space="preserve">Kai prašoma paramos projektams, kuriuose </w:t>
            </w:r>
            <w:r w:rsidR="008A45F6" w:rsidRPr="00005017">
              <w:rPr>
                <w:szCs w:val="24"/>
                <w:lang w:eastAsia="lt-LT"/>
              </w:rPr>
              <w:t>įgyvendinamos gyvūnų gerovės priemonės, kuriomis mažinamas veterinarinių vaistų naudojimo poreikis</w:t>
            </w:r>
            <w:r w:rsidR="00654FE8" w:rsidRPr="00005017">
              <w:rPr>
                <w:szCs w:val="24"/>
                <w:lang w:eastAsia="lt-LT"/>
              </w:rPr>
              <w:t xml:space="preserve"> </w:t>
            </w:r>
            <w:r w:rsidRPr="00005017">
              <w:rPr>
                <w:szCs w:val="24"/>
                <w:lang w:eastAsia="lt-LT"/>
              </w:rPr>
              <w:t xml:space="preserve">– suteikiama </w:t>
            </w:r>
            <w:r w:rsidR="005E3130" w:rsidRPr="00005017">
              <w:rPr>
                <w:b/>
                <w:bCs/>
                <w:szCs w:val="24"/>
                <w:lang w:eastAsia="lt-LT"/>
              </w:rPr>
              <w:t xml:space="preserve">20 </w:t>
            </w:r>
            <w:r w:rsidRPr="00005017">
              <w:rPr>
                <w:b/>
                <w:bCs/>
                <w:szCs w:val="24"/>
                <w:lang w:eastAsia="lt-LT"/>
              </w:rPr>
              <w:t>balų.</w:t>
            </w:r>
          </w:p>
        </w:tc>
      </w:tr>
      <w:tr w:rsidR="00EF7E9B" w:rsidRPr="00005017" w14:paraId="084E2E02" w14:textId="77777777" w:rsidTr="0074025C">
        <w:tc>
          <w:tcPr>
            <w:tcW w:w="6260" w:type="dxa"/>
            <w:shd w:val="clear" w:color="auto" w:fill="auto"/>
            <w:vAlign w:val="center"/>
          </w:tcPr>
          <w:p w14:paraId="2BD7E2C5" w14:textId="77777777" w:rsidR="00EF7E9B" w:rsidRPr="00005017" w:rsidRDefault="00EF7E9B" w:rsidP="00EF7E9B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05017"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867" w:type="dxa"/>
            <w:shd w:val="clear" w:color="auto" w:fill="auto"/>
          </w:tcPr>
          <w:p w14:paraId="61A9B0F5" w14:textId="5E96E273" w:rsidR="00652EB5" w:rsidRPr="00005017" w:rsidRDefault="008A45F6" w:rsidP="00652EB5">
            <w:pPr>
              <w:tabs>
                <w:tab w:val="left" w:pos="598"/>
              </w:tabs>
              <w:jc w:val="both"/>
              <w:rPr>
                <w:bCs/>
                <w:iCs/>
                <w:szCs w:val="24"/>
                <w:lang w:eastAsia="lt-LT"/>
              </w:rPr>
            </w:pPr>
            <w:r w:rsidRPr="00005017">
              <w:rPr>
                <w:bCs/>
                <w:iCs/>
                <w:szCs w:val="24"/>
                <w:lang w:eastAsia="lt-LT"/>
              </w:rPr>
              <w:t xml:space="preserve">Kriterijus nustatomas atsižvelgiant </w:t>
            </w:r>
            <w:r w:rsidR="00D9200C" w:rsidRPr="00005017">
              <w:rPr>
                <w:bCs/>
                <w:iCs/>
                <w:szCs w:val="24"/>
                <w:lang w:eastAsia="lt-LT"/>
              </w:rPr>
              <w:t>į Programoje nustatytus tikslus ir prioritetus</w:t>
            </w:r>
            <w:r w:rsidRPr="00005017">
              <w:rPr>
                <w:bCs/>
                <w:iCs/>
                <w:szCs w:val="24"/>
                <w:lang w:eastAsia="lt-LT"/>
              </w:rPr>
              <w:t xml:space="preserve">: </w:t>
            </w:r>
            <w:r w:rsidR="00652EB5" w:rsidRPr="00005017">
              <w:rPr>
                <w:bCs/>
                <w:iCs/>
                <w:szCs w:val="24"/>
                <w:lang w:eastAsia="lt-LT"/>
              </w:rPr>
              <w:t xml:space="preserve">„skatinti akvakultūrą, kurią plėtojant užtikrinama gyvūnų sveikata bei </w:t>
            </w:r>
            <w:r w:rsidR="00652EB5" w:rsidRPr="00005017">
              <w:rPr>
                <w:b/>
                <w:iCs/>
                <w:szCs w:val="24"/>
                <w:lang w:eastAsia="lt-LT"/>
              </w:rPr>
              <w:t>gerovė</w:t>
            </w:r>
            <w:r w:rsidR="00652EB5" w:rsidRPr="00005017">
              <w:rPr>
                <w:bCs/>
                <w:iCs/>
                <w:szCs w:val="24"/>
                <w:lang w:eastAsia="lt-LT"/>
              </w:rPr>
              <w:t>, užtikrinamos ligų</w:t>
            </w:r>
          </w:p>
          <w:p w14:paraId="26AAFA39" w14:textId="45F68D48" w:rsidR="00EF7E9B" w:rsidRPr="00005017" w:rsidRDefault="00652EB5" w:rsidP="00652EB5">
            <w:pPr>
              <w:tabs>
                <w:tab w:val="left" w:pos="598"/>
              </w:tabs>
              <w:jc w:val="both"/>
              <w:rPr>
                <w:bCs/>
                <w:iCs/>
                <w:szCs w:val="24"/>
                <w:lang w:eastAsia="lt-LT"/>
              </w:rPr>
            </w:pPr>
            <w:r w:rsidRPr="00005017">
              <w:rPr>
                <w:bCs/>
                <w:iCs/>
                <w:szCs w:val="24"/>
                <w:lang w:eastAsia="lt-LT"/>
              </w:rPr>
              <w:t xml:space="preserve">valdymui reikalingos prevencinės priemonės, </w:t>
            </w:r>
            <w:r w:rsidRPr="00005017">
              <w:rPr>
                <w:b/>
                <w:iCs/>
                <w:szCs w:val="24"/>
                <w:lang w:eastAsia="lt-LT"/>
              </w:rPr>
              <w:t>mažinamas veterinarinių vaistų naudojimo poreikis.</w:t>
            </w:r>
          </w:p>
        </w:tc>
      </w:tr>
    </w:tbl>
    <w:p w14:paraId="07D92A46" w14:textId="31376126" w:rsidR="00DF2F6F" w:rsidRPr="00005017" w:rsidRDefault="00DF2F6F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0"/>
        <w:gridCol w:w="8867"/>
      </w:tblGrid>
      <w:tr w:rsidR="00005017" w:rsidRPr="00005017" w14:paraId="0D4E7A42" w14:textId="77777777" w:rsidTr="00C2107D">
        <w:trPr>
          <w:trHeight w:val="913"/>
        </w:trPr>
        <w:tc>
          <w:tcPr>
            <w:tcW w:w="6260" w:type="dxa"/>
            <w:shd w:val="clear" w:color="auto" w:fill="auto"/>
          </w:tcPr>
          <w:p w14:paraId="11586C5D" w14:textId="77777777" w:rsidR="00654FE8" w:rsidRPr="00005017" w:rsidRDefault="00654FE8" w:rsidP="00C2107D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05017">
              <w:rPr>
                <w:szCs w:val="24"/>
              </w:rPr>
              <w:br w:type="page"/>
            </w:r>
            <w:r w:rsidRPr="00005017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005017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0841F31F" w14:textId="77777777" w:rsidR="00654FE8" w:rsidRPr="00005017" w:rsidRDefault="00654FE8" w:rsidP="00C2107D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05017">
              <w:rPr>
                <w:b/>
                <w:bCs/>
                <w:szCs w:val="24"/>
                <w:lang w:eastAsia="lt-LT"/>
              </w:rPr>
              <w:t>x PRIORITETINIS PROJEKTŲ ATRANKOS KRITERIJUS</w:t>
            </w:r>
          </w:p>
          <w:p w14:paraId="65189CBD" w14:textId="77777777" w:rsidR="00654FE8" w:rsidRPr="00005017" w:rsidRDefault="00654FE8" w:rsidP="00C2107D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05017"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867" w:type="dxa"/>
            <w:shd w:val="clear" w:color="auto" w:fill="auto"/>
          </w:tcPr>
          <w:p w14:paraId="7C41EC80" w14:textId="77777777" w:rsidR="00654FE8" w:rsidRPr="00005017" w:rsidRDefault="00654FE8" w:rsidP="00C2107D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05017">
              <w:rPr>
                <w:b/>
                <w:bCs/>
                <w:szCs w:val="24"/>
                <w:lang w:eastAsia="lt-LT"/>
              </w:rPr>
              <w:t>x Nustatymas</w:t>
            </w:r>
          </w:p>
          <w:p w14:paraId="081AF5A5" w14:textId="77777777" w:rsidR="00654FE8" w:rsidRPr="00005017" w:rsidRDefault="00654FE8" w:rsidP="00C2107D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005017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005017"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005017" w:rsidRPr="00005017" w14:paraId="6E437BB9" w14:textId="77777777" w:rsidTr="00C2107D">
        <w:tc>
          <w:tcPr>
            <w:tcW w:w="6260" w:type="dxa"/>
            <w:shd w:val="clear" w:color="auto" w:fill="auto"/>
            <w:vAlign w:val="center"/>
          </w:tcPr>
          <w:p w14:paraId="16B4FC1D" w14:textId="77777777" w:rsidR="00654FE8" w:rsidRPr="00005017" w:rsidRDefault="00654FE8" w:rsidP="00C2107D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05017"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867" w:type="dxa"/>
            <w:shd w:val="clear" w:color="auto" w:fill="auto"/>
          </w:tcPr>
          <w:p w14:paraId="3838989C" w14:textId="43C7F111" w:rsidR="00654FE8" w:rsidRPr="00005017" w:rsidRDefault="00005017" w:rsidP="00C2107D">
            <w:pPr>
              <w:widowControl w:val="0"/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val="en-US" w:eastAsia="lt-LT"/>
              </w:rPr>
              <w:t>2.</w:t>
            </w:r>
            <w:r w:rsidR="00654FE8" w:rsidRPr="00005017">
              <w:rPr>
                <w:bCs/>
                <w:iCs/>
                <w:szCs w:val="24"/>
                <w:lang w:val="en-US" w:eastAsia="lt-LT"/>
              </w:rPr>
              <w:t>4</w:t>
            </w:r>
            <w:r w:rsidR="00654FE8" w:rsidRPr="00005017">
              <w:rPr>
                <w:bCs/>
                <w:iCs/>
                <w:szCs w:val="24"/>
                <w:lang w:eastAsia="lt-LT"/>
              </w:rPr>
              <w:t xml:space="preserve">. Projekte numatyta įgyvendinti priemones, kuriomis </w:t>
            </w:r>
            <w:r w:rsidR="007436BB" w:rsidRPr="00005017">
              <w:rPr>
                <w:bCs/>
                <w:iCs/>
                <w:szCs w:val="24"/>
                <w:lang w:eastAsia="lt-LT"/>
              </w:rPr>
              <w:t xml:space="preserve">siekiama puoselėti gyvūnų sveikatą ir </w:t>
            </w:r>
            <w:r w:rsidR="006A7D7B" w:rsidRPr="00005017">
              <w:rPr>
                <w:bCs/>
                <w:iCs/>
                <w:szCs w:val="24"/>
                <w:lang w:eastAsia="lt-LT"/>
              </w:rPr>
              <w:t>gerovę.</w:t>
            </w:r>
          </w:p>
        </w:tc>
      </w:tr>
      <w:tr w:rsidR="00005017" w:rsidRPr="00005017" w14:paraId="4A9B38F8" w14:textId="77777777" w:rsidTr="00C2107D">
        <w:tc>
          <w:tcPr>
            <w:tcW w:w="6260" w:type="dxa"/>
            <w:shd w:val="clear" w:color="auto" w:fill="auto"/>
            <w:vAlign w:val="center"/>
          </w:tcPr>
          <w:p w14:paraId="2DEE6D5B" w14:textId="77777777" w:rsidR="00654FE8" w:rsidRPr="00005017" w:rsidRDefault="00654FE8" w:rsidP="00C2107D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05017">
              <w:rPr>
                <w:b/>
                <w:bCs/>
                <w:szCs w:val="24"/>
                <w:lang w:eastAsia="lt-LT"/>
              </w:rPr>
              <w:lastRenderedPageBreak/>
              <w:t>Projektų atrankos kriterijaus vertinimo metodas ir taikymas</w:t>
            </w:r>
          </w:p>
        </w:tc>
        <w:tc>
          <w:tcPr>
            <w:tcW w:w="8867" w:type="dxa"/>
            <w:shd w:val="clear" w:color="auto" w:fill="auto"/>
          </w:tcPr>
          <w:p w14:paraId="652A3ECE" w14:textId="2769D6D1" w:rsidR="00654FE8" w:rsidRPr="00005017" w:rsidRDefault="00654FE8" w:rsidP="00C2107D">
            <w:pPr>
              <w:overflowPunct w:val="0"/>
              <w:ind w:firstLine="851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05017">
              <w:rPr>
                <w:szCs w:val="24"/>
                <w:lang w:eastAsia="lt-LT"/>
              </w:rPr>
              <w:t xml:space="preserve">Kai prašoma paramos projektams, kuriuose įgyvendinamos priemonės kuriomis </w:t>
            </w:r>
            <w:r w:rsidR="005E3130" w:rsidRPr="00005017">
              <w:rPr>
                <w:szCs w:val="24"/>
                <w:lang w:eastAsia="lt-LT"/>
              </w:rPr>
              <w:t xml:space="preserve">siekiama puoselėti gyvūnų sveikatą ir gerovę </w:t>
            </w:r>
            <w:r w:rsidRPr="00005017">
              <w:rPr>
                <w:szCs w:val="24"/>
                <w:lang w:eastAsia="lt-LT"/>
              </w:rPr>
              <w:t xml:space="preserve">– suteikiama </w:t>
            </w:r>
            <w:r w:rsidR="005E3130" w:rsidRPr="00005017">
              <w:rPr>
                <w:b/>
                <w:bCs/>
                <w:szCs w:val="24"/>
                <w:lang w:eastAsia="lt-LT"/>
              </w:rPr>
              <w:t xml:space="preserve">20 </w:t>
            </w:r>
            <w:r w:rsidRPr="00005017">
              <w:rPr>
                <w:b/>
                <w:bCs/>
                <w:szCs w:val="24"/>
                <w:lang w:eastAsia="lt-LT"/>
              </w:rPr>
              <w:t>balų.</w:t>
            </w:r>
          </w:p>
          <w:p w14:paraId="2EE60D5B" w14:textId="543A21A1" w:rsidR="005548C3" w:rsidRPr="00005017" w:rsidRDefault="005548C3" w:rsidP="00C2107D">
            <w:pPr>
              <w:overflowPunct w:val="0"/>
              <w:ind w:firstLine="851"/>
              <w:jc w:val="both"/>
              <w:textAlignment w:val="baseline"/>
              <w:rPr>
                <w:bCs/>
                <w:szCs w:val="24"/>
                <w:lang w:eastAsia="lt-LT"/>
              </w:rPr>
            </w:pPr>
          </w:p>
        </w:tc>
      </w:tr>
      <w:tr w:rsidR="00005017" w:rsidRPr="00005017" w14:paraId="491BD168" w14:textId="77777777" w:rsidTr="00C2107D">
        <w:tc>
          <w:tcPr>
            <w:tcW w:w="6260" w:type="dxa"/>
            <w:shd w:val="clear" w:color="auto" w:fill="auto"/>
            <w:vAlign w:val="center"/>
          </w:tcPr>
          <w:p w14:paraId="3FE564ED" w14:textId="77777777" w:rsidR="00654FE8" w:rsidRPr="00005017" w:rsidRDefault="00654FE8" w:rsidP="00C2107D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05017"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867" w:type="dxa"/>
            <w:shd w:val="clear" w:color="auto" w:fill="auto"/>
          </w:tcPr>
          <w:p w14:paraId="5E5DA1FA" w14:textId="6C4B7290" w:rsidR="00654FE8" w:rsidRPr="00005017" w:rsidRDefault="008A45F6" w:rsidP="006A7D7B">
            <w:pPr>
              <w:tabs>
                <w:tab w:val="left" w:pos="598"/>
              </w:tabs>
              <w:jc w:val="both"/>
              <w:rPr>
                <w:bCs/>
                <w:iCs/>
                <w:szCs w:val="24"/>
                <w:lang w:eastAsia="lt-LT"/>
              </w:rPr>
            </w:pPr>
            <w:r w:rsidRPr="00005017">
              <w:rPr>
                <w:bCs/>
                <w:iCs/>
                <w:szCs w:val="24"/>
                <w:lang w:eastAsia="lt-LT"/>
              </w:rPr>
              <w:t xml:space="preserve">Kriterijus nustatomas atsižvelgiant </w:t>
            </w:r>
            <w:r w:rsidR="00654FE8" w:rsidRPr="00005017">
              <w:rPr>
                <w:bCs/>
                <w:iCs/>
                <w:szCs w:val="24"/>
                <w:lang w:eastAsia="lt-LT"/>
              </w:rPr>
              <w:t>į Programoje nustatytus tikslus ir prioritetus</w:t>
            </w:r>
            <w:r w:rsidR="006A7D7B" w:rsidRPr="00005017">
              <w:rPr>
                <w:bCs/>
                <w:iCs/>
                <w:szCs w:val="24"/>
                <w:lang w:eastAsia="lt-LT"/>
              </w:rPr>
              <w:t xml:space="preserve">: </w:t>
            </w:r>
            <w:r w:rsidR="006A7D7B" w:rsidRPr="00005017">
              <w:rPr>
                <w:b/>
                <w:iCs/>
                <w:szCs w:val="24"/>
                <w:lang w:eastAsia="lt-LT"/>
              </w:rPr>
              <w:t>„skatinti akvakultūrą, kurią plėtojant užtikrinama gyvūnų sveikata bei gerovė,</w:t>
            </w:r>
            <w:r w:rsidR="006A7D7B" w:rsidRPr="00005017">
              <w:rPr>
                <w:bCs/>
                <w:iCs/>
                <w:szCs w:val="24"/>
                <w:lang w:eastAsia="lt-LT"/>
              </w:rPr>
              <w:t xml:space="preserve"> užtikrinamos ligų valdymui reikalingos prevencinės priemonės, mažinamas veterinarinių vaistų naudojimo poreikis.</w:t>
            </w:r>
          </w:p>
        </w:tc>
      </w:tr>
    </w:tbl>
    <w:p w14:paraId="2C28D907" w14:textId="77777777" w:rsidR="00951525" w:rsidRPr="00D43F63" w:rsidRDefault="00951525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5997A14" w14:textId="361AB889" w:rsidR="00DF2F6F" w:rsidRPr="00D43F63" w:rsidRDefault="00DF2F6F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3A263530" w14:textId="77777777" w:rsidR="00951525" w:rsidRPr="00D43F63" w:rsidRDefault="00951525">
      <w:pPr>
        <w:widowControl w:val="0"/>
        <w:pBdr>
          <w:bottom w:val="single" w:sz="12" w:space="1" w:color="auto"/>
        </w:pBdr>
        <w:spacing w:line="240" w:lineRule="exact"/>
        <w:jc w:val="both"/>
        <w:textAlignment w:val="baseline"/>
        <w:rPr>
          <w:szCs w:val="24"/>
        </w:rPr>
      </w:pPr>
    </w:p>
    <w:p w14:paraId="13B87E05" w14:textId="77777777" w:rsidR="00654FE8" w:rsidRPr="00D43F63" w:rsidRDefault="00654FE8" w:rsidP="006A7D7B">
      <w:pPr>
        <w:widowControl w:val="0"/>
        <w:spacing w:line="240" w:lineRule="exact"/>
        <w:textAlignment w:val="baseline"/>
        <w:rPr>
          <w:b/>
          <w:bCs/>
          <w:szCs w:val="24"/>
        </w:rPr>
      </w:pPr>
    </w:p>
    <w:p w14:paraId="225DB35E" w14:textId="77777777" w:rsidR="00654FE8" w:rsidRPr="00D43F63" w:rsidRDefault="00654FE8">
      <w:pPr>
        <w:widowControl w:val="0"/>
        <w:spacing w:line="240" w:lineRule="exact"/>
        <w:jc w:val="center"/>
        <w:textAlignment w:val="baseline"/>
        <w:rPr>
          <w:b/>
          <w:bCs/>
          <w:szCs w:val="24"/>
        </w:rPr>
      </w:pPr>
    </w:p>
    <w:p w14:paraId="145F4736" w14:textId="3F2FD830" w:rsidR="00F85313" w:rsidRPr="00D43F63" w:rsidRDefault="00F85313">
      <w:pPr>
        <w:widowControl w:val="0"/>
        <w:spacing w:line="240" w:lineRule="exact"/>
        <w:jc w:val="center"/>
        <w:textAlignment w:val="baseline"/>
        <w:rPr>
          <w:b/>
          <w:bCs/>
          <w:szCs w:val="24"/>
        </w:rPr>
      </w:pPr>
      <w:r w:rsidRPr="00D43F63">
        <w:rPr>
          <w:b/>
          <w:bCs/>
          <w:szCs w:val="24"/>
        </w:rPr>
        <w:t xml:space="preserve">Priemonės </w:t>
      </w:r>
      <w:r w:rsidR="00654FE8" w:rsidRPr="00D43F63">
        <w:rPr>
          <w:b/>
          <w:bCs/>
          <w:szCs w:val="24"/>
        </w:rPr>
        <w:t xml:space="preserve">„Gyvūnų ir  visuomenės sveikatos priemonės“ </w:t>
      </w:r>
      <w:r w:rsidR="006A7D7B" w:rsidRPr="00D43F63">
        <w:rPr>
          <w:b/>
          <w:bCs/>
          <w:szCs w:val="24"/>
        </w:rPr>
        <w:t>informacija</w:t>
      </w:r>
      <w:r w:rsidRPr="00D43F63">
        <w:rPr>
          <w:b/>
          <w:bCs/>
          <w:szCs w:val="24"/>
        </w:rPr>
        <w:t>:</w:t>
      </w:r>
    </w:p>
    <w:p w14:paraId="2985805B" w14:textId="7B3D0C14" w:rsidR="006A7D7B" w:rsidRPr="00BD3287" w:rsidRDefault="006A7D7B">
      <w:pPr>
        <w:widowControl w:val="0"/>
        <w:spacing w:line="240" w:lineRule="exact"/>
        <w:jc w:val="center"/>
        <w:textAlignment w:val="baseline"/>
        <w:rPr>
          <w:b/>
          <w:bCs/>
          <w:color w:val="4F81BD" w:themeColor="accent1"/>
          <w:szCs w:val="24"/>
        </w:rPr>
      </w:pPr>
    </w:p>
    <w:p w14:paraId="72C22E0C" w14:textId="77777777" w:rsidR="006A7D7B" w:rsidRPr="00005017" w:rsidRDefault="006A7D7B" w:rsidP="006A7D7B">
      <w:pPr>
        <w:widowControl w:val="0"/>
        <w:spacing w:line="240" w:lineRule="exact"/>
        <w:jc w:val="both"/>
        <w:textAlignment w:val="baseline"/>
        <w:rPr>
          <w:szCs w:val="24"/>
        </w:rPr>
      </w:pPr>
      <w:r w:rsidRPr="00005017">
        <w:rPr>
          <w:szCs w:val="24"/>
        </w:rPr>
        <w:t>Europos Parlamento ir Tarybos reglamento (ES) Nr. 1139 26 str. 3 punkte numatyta, kad gali būti remiamos veiklos gali apimti ir intervencines priemones, kuriomis prisidedama prie gyvūnų sveikatos ir gerovės akvakultūros sektoriuje užtikrinimo laikantis Europos Parlamento ir Tarybos reglamento (ES) 2016/429 taikymo srities. Minėtame reglamente nėra nuostatų, kuriomis reglamentuojami gyvūnų gerovės klausimai. Tačiau gyvūnų sveikata ir gerovė yra susijusios: geresne gyvūnų sveikata didinama gyvūnų gerovė ir atvirkščiai. Kai pagal šį reglamentą vykdomos ligų prevencijos ir kontrolės priemonės, turėtų būti atsižvelgiama į jų poveikį gyvūnų gerovei, kaip numatyta Sutarties dėl Europos Sąjungos veikimo (toliau – SESV) 13 straipsnyje, kad atitinkami gyvūnai būtų</w:t>
      </w:r>
    </w:p>
    <w:p w14:paraId="1E6D84A9" w14:textId="77777777" w:rsidR="006A7D7B" w:rsidRPr="00005017" w:rsidRDefault="006A7D7B" w:rsidP="006A7D7B">
      <w:pPr>
        <w:widowControl w:val="0"/>
        <w:spacing w:line="240" w:lineRule="exact"/>
        <w:jc w:val="both"/>
        <w:textAlignment w:val="baseline"/>
        <w:rPr>
          <w:b/>
          <w:bCs/>
          <w:szCs w:val="24"/>
        </w:rPr>
      </w:pPr>
      <w:r w:rsidRPr="00005017">
        <w:rPr>
          <w:szCs w:val="24"/>
        </w:rPr>
        <w:t xml:space="preserve">apsaugoti nuo išvengiamo skausmo, įtampos ar kančios. </w:t>
      </w:r>
    </w:p>
    <w:p w14:paraId="47E32FA3" w14:textId="5B521C7C" w:rsidR="00F85313" w:rsidRPr="00D43F63" w:rsidRDefault="00F85313">
      <w:pPr>
        <w:widowControl w:val="0"/>
        <w:spacing w:line="240" w:lineRule="exact"/>
        <w:jc w:val="center"/>
        <w:textAlignment w:val="baseline"/>
        <w:rPr>
          <w:b/>
          <w:bCs/>
          <w:szCs w:val="24"/>
        </w:rPr>
      </w:pPr>
    </w:p>
    <w:tbl>
      <w:tblPr>
        <w:tblW w:w="15170" w:type="dxa"/>
        <w:tblLook w:val="04A0" w:firstRow="1" w:lastRow="0" w:firstColumn="1" w:lastColumn="0" w:noHBand="0" w:noVBand="1"/>
      </w:tblPr>
      <w:tblGrid>
        <w:gridCol w:w="363"/>
        <w:gridCol w:w="8457"/>
        <w:gridCol w:w="1555"/>
        <w:gridCol w:w="1617"/>
        <w:gridCol w:w="1429"/>
        <w:gridCol w:w="898"/>
        <w:gridCol w:w="851"/>
      </w:tblGrid>
      <w:tr w:rsidR="00005017" w:rsidRPr="00D43F63" w14:paraId="6A5FD705" w14:textId="77777777" w:rsidTr="007F25FD">
        <w:trPr>
          <w:trHeight w:val="2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87B5" w14:textId="073E14CA" w:rsidR="00005017" w:rsidRPr="00D43F63" w:rsidRDefault="00005017" w:rsidP="000E6045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2291" w14:textId="42725FDE" w:rsidR="00005017" w:rsidRPr="00D43F63" w:rsidRDefault="00005017" w:rsidP="000E6045">
            <w:pPr>
              <w:rPr>
                <w:b/>
                <w:bCs/>
                <w:sz w:val="20"/>
                <w:lang w:eastAsia="lt-LT"/>
              </w:rPr>
            </w:pPr>
            <w:r w:rsidRPr="00D43F63">
              <w:rPr>
                <w:b/>
                <w:bCs/>
                <w:sz w:val="20"/>
                <w:lang w:eastAsia="lt-LT"/>
              </w:rPr>
              <w:t>Remiamos veiklos :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D92A" w14:textId="0CF2A4EE" w:rsidR="00005017" w:rsidRPr="00D43F63" w:rsidRDefault="00005017" w:rsidP="000E6045">
            <w:pPr>
              <w:jc w:val="center"/>
              <w:rPr>
                <w:sz w:val="20"/>
                <w:lang w:eastAsia="lt-LT"/>
              </w:rPr>
            </w:pPr>
            <w:r w:rsidRPr="00D43F63">
              <w:rPr>
                <w:sz w:val="20"/>
                <w:lang w:eastAsia="lt-LT"/>
              </w:rPr>
              <w:t xml:space="preserve">Preliminarus </w:t>
            </w:r>
            <w:r w:rsidRPr="00D43F63">
              <w:rPr>
                <w:sz w:val="20"/>
                <w:lang w:eastAsia="lt-LT"/>
              </w:rPr>
              <w:br/>
              <w:t>biudžetas veikloms, Eur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63AE" w14:textId="75671F17" w:rsidR="00005017" w:rsidRPr="00D43F63" w:rsidRDefault="00005017" w:rsidP="000E6045">
            <w:pPr>
              <w:jc w:val="center"/>
              <w:rPr>
                <w:sz w:val="20"/>
                <w:lang w:eastAsia="lt-LT"/>
              </w:rPr>
            </w:pPr>
            <w:r w:rsidRPr="00D43F63">
              <w:rPr>
                <w:sz w:val="20"/>
                <w:lang w:eastAsia="lt-LT"/>
              </w:rPr>
              <w:t>MAX Paramos intensyvumas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BA64" w14:textId="042A9C35" w:rsidR="00005017" w:rsidRPr="00D43F63" w:rsidRDefault="00005017" w:rsidP="000E6045">
            <w:pPr>
              <w:jc w:val="center"/>
              <w:rPr>
                <w:sz w:val="20"/>
                <w:lang w:eastAsia="lt-LT"/>
              </w:rPr>
            </w:pPr>
            <w:r w:rsidRPr="00D43F63">
              <w:rPr>
                <w:sz w:val="20"/>
                <w:lang w:eastAsia="lt-LT"/>
              </w:rPr>
              <w:t>Preliminarus pr.sk. (PR21)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604C" w14:textId="77777777" w:rsidR="00005017" w:rsidRPr="00D43F63" w:rsidRDefault="00005017" w:rsidP="000E6045">
            <w:pPr>
              <w:jc w:val="center"/>
              <w:rPr>
                <w:sz w:val="20"/>
                <w:lang w:eastAsia="lt-LT"/>
              </w:rPr>
            </w:pPr>
            <w:r w:rsidRPr="00D43F63">
              <w:rPr>
                <w:sz w:val="20"/>
                <w:lang w:eastAsia="lt-LT"/>
              </w:rPr>
              <w:t>Pagrindiniai Rezultato rodikliai (RR)*</w:t>
            </w:r>
          </w:p>
        </w:tc>
      </w:tr>
      <w:tr w:rsidR="00005017" w:rsidRPr="00D43F63" w14:paraId="12C70AAB" w14:textId="77777777" w:rsidTr="007F25FD">
        <w:trPr>
          <w:trHeight w:val="1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BAF3" w14:textId="77777777" w:rsidR="00005017" w:rsidRPr="00D43F63" w:rsidRDefault="00005017" w:rsidP="000E6045">
            <w:pPr>
              <w:jc w:val="center"/>
              <w:rPr>
                <w:sz w:val="20"/>
                <w:lang w:eastAsia="lt-LT"/>
              </w:rPr>
            </w:pPr>
            <w:r w:rsidRPr="00D43F63">
              <w:rPr>
                <w:sz w:val="20"/>
                <w:lang w:eastAsia="lt-LT"/>
              </w:rPr>
              <w:t>1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E34E" w14:textId="4B61E5F7" w:rsidR="00005017" w:rsidRPr="00005017" w:rsidRDefault="00005017" w:rsidP="00922A98">
            <w:pPr>
              <w:rPr>
                <w:sz w:val="20"/>
                <w:lang w:eastAsia="lt-LT"/>
              </w:rPr>
            </w:pPr>
            <w:r w:rsidRPr="00005017">
              <w:rPr>
                <w:sz w:val="20"/>
                <w:lang w:eastAsia="lt-LT"/>
              </w:rPr>
              <w:t>Akvakultūros įmonių įgyvendinamos priemonės, kuriomis siekiama sumažinti akvakultūros priklausomybę nuo veterinarinių vaistų, puoselėti gyvūnų sveikatą ir gerovę akvakultūros įmonėse prevencijos ir biologinio saugumo aspektais.</w:t>
            </w:r>
          </w:p>
        </w:tc>
        <w:tc>
          <w:tcPr>
            <w:tcW w:w="1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CA23" w14:textId="2C03C260" w:rsidR="00005017" w:rsidRPr="00005017" w:rsidRDefault="00005017" w:rsidP="000E6045">
            <w:pPr>
              <w:jc w:val="center"/>
              <w:rPr>
                <w:sz w:val="20"/>
                <w:lang w:eastAsia="lt-LT"/>
              </w:rPr>
            </w:pPr>
            <w:r w:rsidRPr="00005017">
              <w:rPr>
                <w:sz w:val="20"/>
                <w:lang w:eastAsia="lt-LT"/>
              </w:rPr>
              <w:t>1 500 000</w:t>
            </w:r>
          </w:p>
          <w:p w14:paraId="63F4F7E2" w14:textId="1DD2689B" w:rsidR="00005017" w:rsidRPr="00005017" w:rsidRDefault="00005017" w:rsidP="00922A9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67C4" w14:textId="3451DE8F" w:rsidR="00005017" w:rsidRPr="00D43F63" w:rsidRDefault="00005017" w:rsidP="000E6045">
            <w:pPr>
              <w:jc w:val="center"/>
              <w:rPr>
                <w:sz w:val="20"/>
                <w:lang w:eastAsia="lt-LT"/>
              </w:rPr>
            </w:pPr>
            <w:r w:rsidRPr="00D43F63">
              <w:rPr>
                <w:sz w:val="20"/>
                <w:lang w:eastAsia="lt-LT"/>
              </w:rPr>
              <w:t>50 / 60 proc.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019056" w14:textId="147D1D17" w:rsidR="00005017" w:rsidRPr="00D43F63" w:rsidRDefault="00005017" w:rsidP="000E6045">
            <w:pPr>
              <w:jc w:val="center"/>
              <w:rPr>
                <w:sz w:val="20"/>
                <w:lang w:eastAsia="lt-LT"/>
              </w:rPr>
            </w:pPr>
            <w:r w:rsidRPr="00D43F63">
              <w:rPr>
                <w:sz w:val="20"/>
                <w:lang w:eastAsia="lt-LT"/>
              </w:rPr>
              <w:t>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0DAF" w14:textId="3A1C51E5" w:rsidR="00005017" w:rsidRPr="00D43F63" w:rsidRDefault="00005017" w:rsidP="000E6045">
            <w:pPr>
              <w:jc w:val="center"/>
              <w:rPr>
                <w:sz w:val="20"/>
                <w:lang w:eastAsia="lt-LT"/>
              </w:rPr>
            </w:pPr>
            <w:r w:rsidRPr="00D43F63">
              <w:rPr>
                <w:sz w:val="20"/>
                <w:lang w:eastAsia="lt-LT"/>
              </w:rPr>
              <w:t>CR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AF43" w14:textId="5E3ECC13" w:rsidR="00005017" w:rsidRPr="00D43F63" w:rsidRDefault="00005017" w:rsidP="000E6045">
            <w:pPr>
              <w:jc w:val="center"/>
              <w:rPr>
                <w:sz w:val="20"/>
                <w:lang w:eastAsia="lt-LT"/>
              </w:rPr>
            </w:pPr>
            <w:r w:rsidRPr="00D43F63">
              <w:rPr>
                <w:sz w:val="20"/>
                <w:lang w:eastAsia="lt-LT"/>
              </w:rPr>
              <w:t>18</w:t>
            </w:r>
          </w:p>
        </w:tc>
      </w:tr>
      <w:tr w:rsidR="00005017" w:rsidRPr="00D43F63" w14:paraId="733BC5EC" w14:textId="77777777" w:rsidTr="007F25FD">
        <w:trPr>
          <w:trHeight w:val="1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FE96" w14:textId="77777777" w:rsidR="00005017" w:rsidRPr="00D43F63" w:rsidRDefault="00005017" w:rsidP="00922A98">
            <w:pPr>
              <w:jc w:val="center"/>
              <w:rPr>
                <w:sz w:val="20"/>
                <w:lang w:eastAsia="lt-LT"/>
              </w:rPr>
            </w:pPr>
            <w:r w:rsidRPr="00D43F63">
              <w:rPr>
                <w:sz w:val="20"/>
                <w:lang w:eastAsia="lt-LT"/>
              </w:rPr>
              <w:t>2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3B0BC" w14:textId="5239EED1" w:rsidR="00005017" w:rsidRPr="00D43F63" w:rsidRDefault="00005017" w:rsidP="00922A98">
            <w:pPr>
              <w:rPr>
                <w:sz w:val="20"/>
                <w:lang w:eastAsia="lt-LT"/>
              </w:rPr>
            </w:pPr>
            <w:r w:rsidRPr="00D43F63">
              <w:rPr>
                <w:sz w:val="20"/>
              </w:rPr>
              <w:t>Akvakultūros asociacijų, įskaitant GO, ir / arba viešojo sektoriaus subjektų įgyvendinamos priemonės, kuriomis siekiama sumažinti akvakultūros priklausomybę nuo veterinarinių vaistų, puoselėti gyvūnų sveikatą ir gerovę akvakultūros įmonėse prevencijos ir biologinio saugumo aspektais.</w:t>
            </w: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FA09" w14:textId="472EFB34" w:rsidR="00005017" w:rsidRPr="00BD3287" w:rsidRDefault="00005017" w:rsidP="00922A98">
            <w:pPr>
              <w:jc w:val="center"/>
              <w:rPr>
                <w:color w:val="4F81BD" w:themeColor="accent1"/>
                <w:sz w:val="20"/>
                <w:lang w:eastAsia="lt-LT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27AC" w14:textId="5415D6C6" w:rsidR="00005017" w:rsidRPr="00D43F63" w:rsidRDefault="00005017" w:rsidP="00922A98">
            <w:pPr>
              <w:jc w:val="center"/>
              <w:rPr>
                <w:sz w:val="20"/>
                <w:lang w:eastAsia="lt-LT"/>
              </w:rPr>
            </w:pPr>
            <w:r w:rsidRPr="00D43F63">
              <w:rPr>
                <w:sz w:val="20"/>
                <w:lang w:eastAsia="lt-LT"/>
              </w:rPr>
              <w:t>60 /75/100 proc.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51ACD5" w14:textId="6C2D1E8F" w:rsidR="00005017" w:rsidRPr="00D43F63" w:rsidRDefault="00005017" w:rsidP="00922A98">
            <w:pPr>
              <w:jc w:val="center"/>
              <w:rPr>
                <w:sz w:val="20"/>
                <w:lang w:eastAsia="lt-LT"/>
              </w:rPr>
            </w:pPr>
            <w:r w:rsidRPr="00D43F63">
              <w:rPr>
                <w:sz w:val="20"/>
                <w:lang w:eastAsia="lt-LT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1577" w14:textId="3E594786" w:rsidR="00005017" w:rsidRPr="00D43F63" w:rsidRDefault="00005017" w:rsidP="00922A98">
            <w:pPr>
              <w:jc w:val="center"/>
              <w:rPr>
                <w:sz w:val="20"/>
                <w:lang w:eastAsia="lt-LT"/>
              </w:rPr>
            </w:pPr>
            <w:r w:rsidRPr="00D43F63">
              <w:rPr>
                <w:sz w:val="20"/>
                <w:lang w:eastAsia="lt-LT"/>
              </w:rPr>
              <w:t>CR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1E8B" w14:textId="544FDF67" w:rsidR="00005017" w:rsidRPr="00D43F63" w:rsidRDefault="00005017" w:rsidP="00922A98">
            <w:pPr>
              <w:jc w:val="center"/>
              <w:rPr>
                <w:sz w:val="20"/>
                <w:lang w:eastAsia="lt-LT"/>
              </w:rPr>
            </w:pPr>
            <w:r w:rsidRPr="00D43F63">
              <w:rPr>
                <w:sz w:val="20"/>
                <w:lang w:eastAsia="lt-LT"/>
              </w:rPr>
              <w:t>3</w:t>
            </w:r>
          </w:p>
        </w:tc>
      </w:tr>
    </w:tbl>
    <w:p w14:paraId="0B70044B" w14:textId="080166F5" w:rsidR="00D36DCF" w:rsidRPr="00D43F63" w:rsidRDefault="00D36DCF" w:rsidP="00D36DCF">
      <w:pPr>
        <w:widowControl w:val="0"/>
        <w:spacing w:line="360" w:lineRule="auto"/>
        <w:jc w:val="both"/>
        <w:textAlignment w:val="baseline"/>
        <w:rPr>
          <w:szCs w:val="24"/>
        </w:rPr>
      </w:pPr>
    </w:p>
    <w:sectPr w:rsidR="00D36DCF" w:rsidRPr="00D43F63" w:rsidSect="00BB6D79">
      <w:pgSz w:w="16838" w:h="11906" w:orient="landscape" w:code="9"/>
      <w:pgMar w:top="709" w:right="567" w:bottom="568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76B40" w14:textId="77777777" w:rsidR="00EC4D39" w:rsidRDefault="00EC4D39" w:rsidP="006B3420">
      <w:r>
        <w:separator/>
      </w:r>
    </w:p>
  </w:endnote>
  <w:endnote w:type="continuationSeparator" w:id="0">
    <w:p w14:paraId="31D134FE" w14:textId="77777777" w:rsidR="00EC4D39" w:rsidRDefault="00EC4D39" w:rsidP="006B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BC76C" w14:textId="77777777" w:rsidR="00EC4D39" w:rsidRDefault="00EC4D39" w:rsidP="006B3420">
      <w:r>
        <w:separator/>
      </w:r>
    </w:p>
  </w:footnote>
  <w:footnote w:type="continuationSeparator" w:id="0">
    <w:p w14:paraId="30B6E0CF" w14:textId="77777777" w:rsidR="00EC4D39" w:rsidRDefault="00EC4D39" w:rsidP="006B3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25pt;height:11.25pt" o:bullet="t">
        <v:imagedata r:id="rId1" o:title="msoA787"/>
      </v:shape>
    </w:pict>
  </w:numPicBullet>
  <w:abstractNum w:abstractNumId="0" w15:restartNumberingAfterBreak="0">
    <w:nsid w:val="2EA41562"/>
    <w:multiLevelType w:val="hybridMultilevel"/>
    <w:tmpl w:val="FA90E8A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3582A"/>
    <w:multiLevelType w:val="hybridMultilevel"/>
    <w:tmpl w:val="CCF69AFE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 w15:restartNumberingAfterBreak="0">
    <w:nsid w:val="50307898"/>
    <w:multiLevelType w:val="multilevel"/>
    <w:tmpl w:val="524223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" w:hanging="1800"/>
      </w:pPr>
      <w:rPr>
        <w:rFonts w:hint="default"/>
      </w:rPr>
    </w:lvl>
  </w:abstractNum>
  <w:abstractNum w:abstractNumId="3" w15:restartNumberingAfterBreak="0">
    <w:nsid w:val="58340FCA"/>
    <w:multiLevelType w:val="hybridMultilevel"/>
    <w:tmpl w:val="71DC84F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A2CFF"/>
    <w:multiLevelType w:val="hybridMultilevel"/>
    <w:tmpl w:val="8F40156A"/>
    <w:lvl w:ilvl="0" w:tplc="31CCEFBC">
      <w:start w:val="1"/>
      <w:numFmt w:val="decimal"/>
      <w:lvlText w:val="%1"/>
      <w:lvlJc w:val="left"/>
      <w:pPr>
        <w:ind w:left="129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696C97"/>
    <w:multiLevelType w:val="hybridMultilevel"/>
    <w:tmpl w:val="2730BD7C"/>
    <w:lvl w:ilvl="0" w:tplc="0427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299460">
    <w:abstractNumId w:val="2"/>
  </w:num>
  <w:num w:numId="2" w16cid:durableId="182207385">
    <w:abstractNumId w:val="1"/>
  </w:num>
  <w:num w:numId="3" w16cid:durableId="1551459984">
    <w:abstractNumId w:val="5"/>
  </w:num>
  <w:num w:numId="4" w16cid:durableId="1822193675">
    <w:abstractNumId w:val="0"/>
  </w:num>
  <w:num w:numId="5" w16cid:durableId="1605570104">
    <w:abstractNumId w:val="3"/>
  </w:num>
  <w:num w:numId="6" w16cid:durableId="884291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CA"/>
    <w:rsid w:val="00004B57"/>
    <w:rsid w:val="00004C87"/>
    <w:rsid w:val="00005017"/>
    <w:rsid w:val="000107F4"/>
    <w:rsid w:val="0002367A"/>
    <w:rsid w:val="00042930"/>
    <w:rsid w:val="00060F9D"/>
    <w:rsid w:val="000620FE"/>
    <w:rsid w:val="00072876"/>
    <w:rsid w:val="00083837"/>
    <w:rsid w:val="000B1D46"/>
    <w:rsid w:val="000B7BB6"/>
    <w:rsid w:val="000C7597"/>
    <w:rsid w:val="000C7BF7"/>
    <w:rsid w:val="000D2DCE"/>
    <w:rsid w:val="000E4A3B"/>
    <w:rsid w:val="000E6045"/>
    <w:rsid w:val="000F2C7C"/>
    <w:rsid w:val="00123923"/>
    <w:rsid w:val="0015517E"/>
    <w:rsid w:val="001610A1"/>
    <w:rsid w:val="00177FD7"/>
    <w:rsid w:val="001A162A"/>
    <w:rsid w:val="001B0674"/>
    <w:rsid w:val="001C09FA"/>
    <w:rsid w:val="001C4DF3"/>
    <w:rsid w:val="001D589D"/>
    <w:rsid w:val="001E17BD"/>
    <w:rsid w:val="001F26C5"/>
    <w:rsid w:val="001F3E39"/>
    <w:rsid w:val="002005F5"/>
    <w:rsid w:val="00210E91"/>
    <w:rsid w:val="002175B0"/>
    <w:rsid w:val="00227BC5"/>
    <w:rsid w:val="0023518A"/>
    <w:rsid w:val="00235CEB"/>
    <w:rsid w:val="00236C72"/>
    <w:rsid w:val="002375B1"/>
    <w:rsid w:val="0025321A"/>
    <w:rsid w:val="002614E6"/>
    <w:rsid w:val="0027065E"/>
    <w:rsid w:val="002B158D"/>
    <w:rsid w:val="002C2F72"/>
    <w:rsid w:val="002D0700"/>
    <w:rsid w:val="002D4D0B"/>
    <w:rsid w:val="002E04EA"/>
    <w:rsid w:val="0030452E"/>
    <w:rsid w:val="00304BD6"/>
    <w:rsid w:val="00312F2F"/>
    <w:rsid w:val="00330C57"/>
    <w:rsid w:val="00356851"/>
    <w:rsid w:val="00367557"/>
    <w:rsid w:val="00371BB7"/>
    <w:rsid w:val="003750A8"/>
    <w:rsid w:val="0038410A"/>
    <w:rsid w:val="003A4EC6"/>
    <w:rsid w:val="003B1514"/>
    <w:rsid w:val="003B6F24"/>
    <w:rsid w:val="003C6A19"/>
    <w:rsid w:val="003D2EEF"/>
    <w:rsid w:val="003E307F"/>
    <w:rsid w:val="003F38BB"/>
    <w:rsid w:val="00404B62"/>
    <w:rsid w:val="00410BBC"/>
    <w:rsid w:val="00412CFB"/>
    <w:rsid w:val="004259F5"/>
    <w:rsid w:val="00437611"/>
    <w:rsid w:val="00461E79"/>
    <w:rsid w:val="00464D90"/>
    <w:rsid w:val="00492D0F"/>
    <w:rsid w:val="004C7D1D"/>
    <w:rsid w:val="004E12A8"/>
    <w:rsid w:val="004E4ABD"/>
    <w:rsid w:val="005048EE"/>
    <w:rsid w:val="00506F01"/>
    <w:rsid w:val="00510CF2"/>
    <w:rsid w:val="005159CA"/>
    <w:rsid w:val="00524DB8"/>
    <w:rsid w:val="00535C36"/>
    <w:rsid w:val="00543FB7"/>
    <w:rsid w:val="005548C3"/>
    <w:rsid w:val="00567BDA"/>
    <w:rsid w:val="005761EC"/>
    <w:rsid w:val="00590086"/>
    <w:rsid w:val="005A08F8"/>
    <w:rsid w:val="005B11E3"/>
    <w:rsid w:val="005B1817"/>
    <w:rsid w:val="005D1B74"/>
    <w:rsid w:val="005E2165"/>
    <w:rsid w:val="005E3130"/>
    <w:rsid w:val="006127EF"/>
    <w:rsid w:val="0064157E"/>
    <w:rsid w:val="00641D3A"/>
    <w:rsid w:val="00647D5C"/>
    <w:rsid w:val="00652EB5"/>
    <w:rsid w:val="00654FE8"/>
    <w:rsid w:val="00682917"/>
    <w:rsid w:val="00683E37"/>
    <w:rsid w:val="0069091F"/>
    <w:rsid w:val="006918A8"/>
    <w:rsid w:val="0069198D"/>
    <w:rsid w:val="006A42A1"/>
    <w:rsid w:val="006A7D7B"/>
    <w:rsid w:val="006B3420"/>
    <w:rsid w:val="006C157C"/>
    <w:rsid w:val="006C667F"/>
    <w:rsid w:val="006E154F"/>
    <w:rsid w:val="006E4D3B"/>
    <w:rsid w:val="006F5F9B"/>
    <w:rsid w:val="0073446B"/>
    <w:rsid w:val="007436BB"/>
    <w:rsid w:val="0076122D"/>
    <w:rsid w:val="007A462E"/>
    <w:rsid w:val="007B251B"/>
    <w:rsid w:val="007E4898"/>
    <w:rsid w:val="007E7D3A"/>
    <w:rsid w:val="007F027A"/>
    <w:rsid w:val="007F25FD"/>
    <w:rsid w:val="00802134"/>
    <w:rsid w:val="008236AC"/>
    <w:rsid w:val="00831EF7"/>
    <w:rsid w:val="008539E8"/>
    <w:rsid w:val="008776D3"/>
    <w:rsid w:val="00877B12"/>
    <w:rsid w:val="00880F45"/>
    <w:rsid w:val="00891A9A"/>
    <w:rsid w:val="00893994"/>
    <w:rsid w:val="008A20E4"/>
    <w:rsid w:val="008A45F6"/>
    <w:rsid w:val="008A5FF9"/>
    <w:rsid w:val="008C7109"/>
    <w:rsid w:val="008C7BB1"/>
    <w:rsid w:val="008D6F58"/>
    <w:rsid w:val="008D73CC"/>
    <w:rsid w:val="008E7E18"/>
    <w:rsid w:val="00903D7A"/>
    <w:rsid w:val="00907992"/>
    <w:rsid w:val="00922A98"/>
    <w:rsid w:val="0092402E"/>
    <w:rsid w:val="0093238A"/>
    <w:rsid w:val="00933AB4"/>
    <w:rsid w:val="00951525"/>
    <w:rsid w:val="00952B12"/>
    <w:rsid w:val="00973EBC"/>
    <w:rsid w:val="009821AE"/>
    <w:rsid w:val="009931F3"/>
    <w:rsid w:val="009A0A3E"/>
    <w:rsid w:val="009C6817"/>
    <w:rsid w:val="009F6867"/>
    <w:rsid w:val="009F7FB2"/>
    <w:rsid w:val="00A01381"/>
    <w:rsid w:val="00A015BC"/>
    <w:rsid w:val="00A04E00"/>
    <w:rsid w:val="00A05E3E"/>
    <w:rsid w:val="00A07E8B"/>
    <w:rsid w:val="00A10191"/>
    <w:rsid w:val="00A3071E"/>
    <w:rsid w:val="00A37499"/>
    <w:rsid w:val="00A40DD4"/>
    <w:rsid w:val="00A5420A"/>
    <w:rsid w:val="00A84F13"/>
    <w:rsid w:val="00AA2E81"/>
    <w:rsid w:val="00AE3678"/>
    <w:rsid w:val="00AE3700"/>
    <w:rsid w:val="00AF552D"/>
    <w:rsid w:val="00B021C0"/>
    <w:rsid w:val="00B167DD"/>
    <w:rsid w:val="00B16A7E"/>
    <w:rsid w:val="00B321D1"/>
    <w:rsid w:val="00B415E1"/>
    <w:rsid w:val="00B548E0"/>
    <w:rsid w:val="00B55588"/>
    <w:rsid w:val="00B57E06"/>
    <w:rsid w:val="00B629E3"/>
    <w:rsid w:val="00B67CA4"/>
    <w:rsid w:val="00B871F9"/>
    <w:rsid w:val="00B8777C"/>
    <w:rsid w:val="00B93DDA"/>
    <w:rsid w:val="00BA6B23"/>
    <w:rsid w:val="00BB6D79"/>
    <w:rsid w:val="00BB7E5D"/>
    <w:rsid w:val="00BC42B8"/>
    <w:rsid w:val="00BD3287"/>
    <w:rsid w:val="00BE670D"/>
    <w:rsid w:val="00BF0529"/>
    <w:rsid w:val="00BF3B52"/>
    <w:rsid w:val="00BF58FF"/>
    <w:rsid w:val="00BF61F2"/>
    <w:rsid w:val="00C1654F"/>
    <w:rsid w:val="00C31271"/>
    <w:rsid w:val="00C724FA"/>
    <w:rsid w:val="00C7294A"/>
    <w:rsid w:val="00C74C68"/>
    <w:rsid w:val="00C819DA"/>
    <w:rsid w:val="00C8212E"/>
    <w:rsid w:val="00C86CAE"/>
    <w:rsid w:val="00CA12AA"/>
    <w:rsid w:val="00CA48F9"/>
    <w:rsid w:val="00CE3781"/>
    <w:rsid w:val="00CE3815"/>
    <w:rsid w:val="00CE4245"/>
    <w:rsid w:val="00CE496F"/>
    <w:rsid w:val="00D109F9"/>
    <w:rsid w:val="00D2015F"/>
    <w:rsid w:val="00D27B81"/>
    <w:rsid w:val="00D36DCF"/>
    <w:rsid w:val="00D41E4E"/>
    <w:rsid w:val="00D43540"/>
    <w:rsid w:val="00D43F63"/>
    <w:rsid w:val="00D56283"/>
    <w:rsid w:val="00D9200C"/>
    <w:rsid w:val="00DB49C5"/>
    <w:rsid w:val="00DC26D4"/>
    <w:rsid w:val="00DC771F"/>
    <w:rsid w:val="00DD511B"/>
    <w:rsid w:val="00DE1A6A"/>
    <w:rsid w:val="00DF2F6F"/>
    <w:rsid w:val="00E01A64"/>
    <w:rsid w:val="00E10F96"/>
    <w:rsid w:val="00E17ECA"/>
    <w:rsid w:val="00E2036A"/>
    <w:rsid w:val="00E2160F"/>
    <w:rsid w:val="00E373A4"/>
    <w:rsid w:val="00E404A9"/>
    <w:rsid w:val="00E43D65"/>
    <w:rsid w:val="00E50740"/>
    <w:rsid w:val="00E50B60"/>
    <w:rsid w:val="00E67395"/>
    <w:rsid w:val="00E8060D"/>
    <w:rsid w:val="00E8377C"/>
    <w:rsid w:val="00E87648"/>
    <w:rsid w:val="00EB1D35"/>
    <w:rsid w:val="00EB70EE"/>
    <w:rsid w:val="00EC0C32"/>
    <w:rsid w:val="00EC4D39"/>
    <w:rsid w:val="00EC6935"/>
    <w:rsid w:val="00EE3026"/>
    <w:rsid w:val="00EE413B"/>
    <w:rsid w:val="00EE6872"/>
    <w:rsid w:val="00EF0070"/>
    <w:rsid w:val="00EF7E9B"/>
    <w:rsid w:val="00F45041"/>
    <w:rsid w:val="00F458A5"/>
    <w:rsid w:val="00F61ECD"/>
    <w:rsid w:val="00F631A0"/>
    <w:rsid w:val="00F73767"/>
    <w:rsid w:val="00F85313"/>
    <w:rsid w:val="00FA1F9A"/>
    <w:rsid w:val="00FB4957"/>
    <w:rsid w:val="00FB5093"/>
    <w:rsid w:val="00FB60CC"/>
    <w:rsid w:val="00FD1A66"/>
    <w:rsid w:val="00FD4342"/>
    <w:rsid w:val="00FE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8B55C32-F7B9-4EC5-9E05-0ECB52D6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371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371BB7"/>
    <w:rPr>
      <w:rFonts w:asciiTheme="minorHAnsi" w:eastAsiaTheme="minorHAnsi" w:hAnsiTheme="minorHAnsi" w:cstheme="minorBidi"/>
      <w:sz w:val="22"/>
      <w:szCs w:val="22"/>
    </w:rPr>
  </w:style>
  <w:style w:type="paragraph" w:customStyle="1" w:styleId="Turtovaldytojas">
    <w:name w:val="Turto valdytojas"/>
    <w:basedOn w:val="prastasis"/>
    <w:rsid w:val="000E4A3B"/>
    <w:pPr>
      <w:spacing w:before="240" w:after="240"/>
    </w:pPr>
    <w:rPr>
      <w:b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6B342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6B3420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6B3420"/>
    <w:rPr>
      <w:vertAlign w:val="superscript"/>
    </w:rPr>
  </w:style>
  <w:style w:type="character" w:styleId="Hipersaitas">
    <w:name w:val="Hyperlink"/>
    <w:basedOn w:val="Numatytasispastraiposriftas"/>
    <w:uiPriority w:val="99"/>
    <w:semiHidden/>
    <w:unhideWhenUsed/>
    <w:rsid w:val="006B3420"/>
    <w:rPr>
      <w:color w:val="0000FF"/>
      <w:u w:val="single"/>
    </w:rPr>
  </w:style>
  <w:style w:type="character" w:styleId="Komentaronuoroda">
    <w:name w:val="annotation reference"/>
    <w:basedOn w:val="Numatytasispastraiposriftas"/>
    <w:semiHidden/>
    <w:unhideWhenUsed/>
    <w:rsid w:val="008C7B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C7BB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C7BB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C7B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C7BB1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8C7B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C7BB1"/>
    <w:rPr>
      <w:rFonts w:ascii="Tahoma" w:hAnsi="Tahoma" w:cs="Tahoma"/>
      <w:sz w:val="16"/>
      <w:szCs w:val="16"/>
    </w:rPr>
  </w:style>
  <w:style w:type="character" w:styleId="Perirtashipersaitas">
    <w:name w:val="FollowedHyperlink"/>
    <w:basedOn w:val="Numatytasispastraiposriftas"/>
    <w:semiHidden/>
    <w:unhideWhenUsed/>
    <w:rsid w:val="0023518A"/>
    <w:rPr>
      <w:color w:val="800080" w:themeColor="followedHyperlink"/>
      <w:u w:val="single"/>
    </w:rPr>
  </w:style>
  <w:style w:type="paragraph" w:styleId="Pataisymai">
    <w:name w:val="Revision"/>
    <w:hidden/>
    <w:semiHidden/>
    <w:rsid w:val="001C4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52A8B-FEEC-4721-89C6-BEAFA84C27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D98FEA-DD21-4BB6-8073-8B92622A9B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0FF794-F087-4A54-80B4-AB2283B9B6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B02BD1-D1F8-498E-B5D2-C5738A61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5959</Words>
  <Characters>3398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9339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Jūratė Masiulienė</cp:lastModifiedBy>
  <cp:revision>8</cp:revision>
  <cp:lastPrinted>2017-02-13T08:49:00Z</cp:lastPrinted>
  <dcterms:created xsi:type="dcterms:W3CDTF">2023-03-01T20:14:00Z</dcterms:created>
  <dcterms:modified xsi:type="dcterms:W3CDTF">2023-03-06T15:45:00Z</dcterms:modified>
</cp:coreProperties>
</file>