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B5B7" w14:textId="022201E3" w:rsidR="00083837" w:rsidRDefault="00083837">
      <w:pPr>
        <w:widowControl w:val="0"/>
        <w:textAlignment w:val="baseline"/>
        <w:rPr>
          <w:szCs w:val="24"/>
        </w:rPr>
      </w:pPr>
    </w:p>
    <w:p w14:paraId="6DAF0414" w14:textId="77777777" w:rsidR="00EE6872" w:rsidRDefault="00EE6872">
      <w:pPr>
        <w:widowControl w:val="0"/>
        <w:textAlignment w:val="baseline"/>
        <w:rPr>
          <w:szCs w:val="24"/>
        </w:rPr>
      </w:pPr>
    </w:p>
    <w:p w14:paraId="7534FC61" w14:textId="4C2F64DB" w:rsidR="00083837" w:rsidRDefault="00DF2F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083837" w:rsidRDefault="00083837">
      <w:pPr>
        <w:widowControl w:val="0"/>
        <w:jc w:val="center"/>
        <w:textAlignment w:val="baseline"/>
        <w:rPr>
          <w:szCs w:val="24"/>
        </w:rPr>
      </w:pPr>
    </w:p>
    <w:p w14:paraId="2EE47239" w14:textId="1BE47F13" w:rsidR="00083837" w:rsidRPr="00096768" w:rsidRDefault="00DF2F6F">
      <w:pPr>
        <w:widowControl w:val="0"/>
        <w:jc w:val="center"/>
        <w:textAlignment w:val="baseline"/>
        <w:rPr>
          <w:szCs w:val="24"/>
        </w:rPr>
      </w:pPr>
      <w:r w:rsidRPr="00096768">
        <w:rPr>
          <w:szCs w:val="24"/>
        </w:rPr>
        <w:t>20</w:t>
      </w:r>
      <w:r w:rsidR="00F73767" w:rsidRPr="00096768">
        <w:rPr>
          <w:szCs w:val="24"/>
        </w:rPr>
        <w:t>2</w:t>
      </w:r>
      <w:r w:rsidR="00B67CA4" w:rsidRPr="00096768">
        <w:rPr>
          <w:szCs w:val="24"/>
        </w:rPr>
        <w:t>3</w:t>
      </w:r>
      <w:r w:rsidRPr="00096768">
        <w:rPr>
          <w:szCs w:val="24"/>
        </w:rPr>
        <w:t xml:space="preserve"> m. </w:t>
      </w:r>
      <w:r w:rsidR="00400222" w:rsidRPr="00096768">
        <w:rPr>
          <w:szCs w:val="24"/>
        </w:rPr>
        <w:t>vasario 28</w:t>
      </w:r>
      <w:r w:rsidR="00DC26D4" w:rsidRPr="00096768">
        <w:rPr>
          <w:szCs w:val="24"/>
        </w:rPr>
        <w:t xml:space="preserve"> </w:t>
      </w:r>
      <w:r w:rsidRPr="00096768">
        <w:rPr>
          <w:szCs w:val="24"/>
        </w:rPr>
        <w:t>d.</w:t>
      </w:r>
    </w:p>
    <w:p w14:paraId="523DCB94" w14:textId="77777777" w:rsidR="00083837" w:rsidRPr="00096768" w:rsidRDefault="00083837">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096768" w:rsidRPr="00096768" w14:paraId="77188082" w14:textId="77777777">
        <w:tc>
          <w:tcPr>
            <w:tcW w:w="6345" w:type="dxa"/>
            <w:shd w:val="clear" w:color="auto" w:fill="auto"/>
            <w:vAlign w:val="center"/>
          </w:tcPr>
          <w:p w14:paraId="27B7C8B4" w14:textId="26D73FFD" w:rsidR="00083837" w:rsidRPr="00096768" w:rsidRDefault="00DF2F6F">
            <w:pPr>
              <w:widowControl w:val="0"/>
              <w:textAlignment w:val="baseline"/>
              <w:rPr>
                <w:b/>
                <w:szCs w:val="24"/>
              </w:rPr>
            </w:pPr>
            <w:r w:rsidRPr="00096768">
              <w:rPr>
                <w:b/>
                <w:szCs w:val="24"/>
              </w:rPr>
              <w:t>Pasiūlymą dėl projektų atrankos kriterijų nustatymo ir (arba) keitimo bei vertinimo metodiką teikianti institucija</w:t>
            </w:r>
          </w:p>
        </w:tc>
        <w:tc>
          <w:tcPr>
            <w:tcW w:w="9008" w:type="dxa"/>
            <w:shd w:val="clear" w:color="auto" w:fill="auto"/>
            <w:vAlign w:val="center"/>
          </w:tcPr>
          <w:p w14:paraId="532F9A50" w14:textId="24CE7DF5" w:rsidR="000B1D46" w:rsidRPr="00096768" w:rsidRDefault="000B1D46" w:rsidP="000B1D46">
            <w:pPr>
              <w:widowControl w:val="0"/>
              <w:textAlignment w:val="baseline"/>
              <w:rPr>
                <w:szCs w:val="24"/>
              </w:rPr>
            </w:pPr>
            <w:r w:rsidRPr="00096768">
              <w:rPr>
                <w:szCs w:val="24"/>
              </w:rPr>
              <w:t xml:space="preserve">Lietuvos Respublikos </w:t>
            </w:r>
            <w:r w:rsidR="000D2DCE" w:rsidRPr="00096768">
              <w:rPr>
                <w:szCs w:val="24"/>
              </w:rPr>
              <w:t>žemės ūkio</w:t>
            </w:r>
            <w:r w:rsidRPr="00096768">
              <w:rPr>
                <w:szCs w:val="24"/>
              </w:rPr>
              <w:t xml:space="preserve"> ministerija</w:t>
            </w:r>
          </w:p>
          <w:p w14:paraId="509B765C" w14:textId="33BC204B" w:rsidR="00083837" w:rsidRPr="00096768" w:rsidRDefault="00083837">
            <w:pPr>
              <w:widowControl w:val="0"/>
              <w:textAlignment w:val="baseline"/>
              <w:rPr>
                <w:i/>
                <w:szCs w:val="24"/>
              </w:rPr>
            </w:pPr>
          </w:p>
        </w:tc>
      </w:tr>
      <w:tr w:rsidR="00096768" w:rsidRPr="00096768" w14:paraId="5BE1F7E2" w14:textId="77777777">
        <w:tc>
          <w:tcPr>
            <w:tcW w:w="6345" w:type="dxa"/>
            <w:shd w:val="clear" w:color="auto" w:fill="auto"/>
            <w:vAlign w:val="center"/>
          </w:tcPr>
          <w:p w14:paraId="0206FA4F" w14:textId="4BEED8B3" w:rsidR="00083837" w:rsidRPr="00096768" w:rsidRDefault="00DF2F6F">
            <w:pPr>
              <w:widowControl w:val="0"/>
              <w:textAlignment w:val="baseline"/>
              <w:rPr>
                <w:b/>
                <w:szCs w:val="24"/>
              </w:rPr>
            </w:pPr>
            <w:r w:rsidRPr="00096768">
              <w:rPr>
                <w:b/>
                <w:szCs w:val="24"/>
              </w:rPr>
              <w:t>Pažangos priemonės veiklos (</w:t>
            </w:r>
            <w:proofErr w:type="spellStart"/>
            <w:r w:rsidRPr="00096768">
              <w:rPr>
                <w:b/>
                <w:szCs w:val="24"/>
              </w:rPr>
              <w:t>poveiklės</w:t>
            </w:r>
            <w:proofErr w:type="spellEnd"/>
            <w:r w:rsidRPr="00096768">
              <w:rPr>
                <w:b/>
                <w:szCs w:val="24"/>
              </w:rPr>
              <w:t>) pavadinimas</w:t>
            </w:r>
          </w:p>
        </w:tc>
        <w:tc>
          <w:tcPr>
            <w:tcW w:w="9008" w:type="dxa"/>
            <w:shd w:val="clear" w:color="auto" w:fill="auto"/>
            <w:vAlign w:val="center"/>
          </w:tcPr>
          <w:p w14:paraId="29FF0DB4" w14:textId="3479860B" w:rsidR="001C4DF3" w:rsidRPr="00096768" w:rsidRDefault="001C4DF3">
            <w:pPr>
              <w:widowControl w:val="0"/>
              <w:textAlignment w:val="baseline"/>
              <w:rPr>
                <w:szCs w:val="24"/>
              </w:rPr>
            </w:pPr>
            <w:r w:rsidRPr="00096768">
              <w:rPr>
                <w:szCs w:val="24"/>
              </w:rPr>
              <w:t>„</w:t>
            </w:r>
            <w:proofErr w:type="spellStart"/>
            <w:r w:rsidR="001F70D1" w:rsidRPr="00096768">
              <w:rPr>
                <w:szCs w:val="24"/>
              </w:rPr>
              <w:t>Gamtotvarkos</w:t>
            </w:r>
            <w:proofErr w:type="spellEnd"/>
            <w:r w:rsidR="001F70D1" w:rsidRPr="00096768">
              <w:rPr>
                <w:szCs w:val="24"/>
              </w:rPr>
              <w:t xml:space="preserve"> priemonių įgyvendinimas</w:t>
            </w:r>
            <w:r w:rsidRPr="00096768">
              <w:rPr>
                <w:szCs w:val="24"/>
              </w:rPr>
              <w:t>“ (toliau – Priemonė)</w:t>
            </w:r>
          </w:p>
          <w:p w14:paraId="6B54FBC3" w14:textId="77777777" w:rsidR="001C4DF3" w:rsidRPr="00096768" w:rsidRDefault="001C4DF3">
            <w:pPr>
              <w:widowControl w:val="0"/>
              <w:textAlignment w:val="baseline"/>
              <w:rPr>
                <w:szCs w:val="24"/>
              </w:rPr>
            </w:pPr>
          </w:p>
          <w:p w14:paraId="60BD5E92" w14:textId="769DE0A6" w:rsidR="00083837" w:rsidRPr="00096768" w:rsidRDefault="00235CEB">
            <w:pPr>
              <w:widowControl w:val="0"/>
              <w:textAlignment w:val="baseline"/>
              <w:rPr>
                <w:szCs w:val="24"/>
              </w:rPr>
            </w:pPr>
            <w:r w:rsidRPr="00096768">
              <w:rPr>
                <w:szCs w:val="24"/>
              </w:rPr>
              <w:t xml:space="preserve">2022–2030 metų žemės ūkio, maisto, kaimo plėtros ir žuvininkystės plėtros programos </w:t>
            </w:r>
            <w:r w:rsidR="00524DB8" w:rsidRPr="00096768">
              <w:rPr>
                <w:szCs w:val="24"/>
              </w:rPr>
              <w:t xml:space="preserve">priemonės </w:t>
            </w:r>
            <w:r w:rsidR="00CE496F" w:rsidRPr="00096768">
              <w:rPr>
                <w:szCs w:val="24"/>
              </w:rPr>
              <w:t xml:space="preserve">Nr. </w:t>
            </w:r>
            <w:bookmarkStart w:id="0" w:name="_Hlk113520076"/>
            <w:r w:rsidRPr="00096768">
              <w:rPr>
                <w:szCs w:val="24"/>
              </w:rPr>
              <w:t>15-001-0</w:t>
            </w:r>
            <w:r w:rsidR="00E23C48" w:rsidRPr="00096768">
              <w:rPr>
                <w:szCs w:val="24"/>
              </w:rPr>
              <w:t>6</w:t>
            </w:r>
            <w:r w:rsidRPr="00096768">
              <w:rPr>
                <w:szCs w:val="24"/>
              </w:rPr>
              <w:t>-</w:t>
            </w:r>
            <w:r w:rsidR="00E23C48" w:rsidRPr="00096768">
              <w:rPr>
                <w:szCs w:val="24"/>
              </w:rPr>
              <w:t>02</w:t>
            </w:r>
            <w:r w:rsidRPr="00096768">
              <w:rPr>
                <w:szCs w:val="24"/>
              </w:rPr>
              <w:t>-0</w:t>
            </w:r>
            <w:r w:rsidR="00E23C48" w:rsidRPr="00096768">
              <w:rPr>
                <w:szCs w:val="24"/>
              </w:rPr>
              <w:t>4</w:t>
            </w:r>
            <w:r w:rsidRPr="00096768">
              <w:rPr>
                <w:szCs w:val="24"/>
              </w:rPr>
              <w:t xml:space="preserve"> </w:t>
            </w:r>
            <w:bookmarkEnd w:id="0"/>
            <w:r w:rsidR="00CE496F" w:rsidRPr="00096768">
              <w:rPr>
                <w:szCs w:val="24"/>
              </w:rPr>
              <w:t>aprašo veikla „</w:t>
            </w:r>
            <w:proofErr w:type="spellStart"/>
            <w:r w:rsidR="00E23C48" w:rsidRPr="00096768">
              <w:rPr>
                <w:szCs w:val="24"/>
              </w:rPr>
              <w:t>Gamtotvarkos</w:t>
            </w:r>
            <w:proofErr w:type="spellEnd"/>
            <w:r w:rsidR="00E23C48" w:rsidRPr="00096768">
              <w:rPr>
                <w:szCs w:val="24"/>
              </w:rPr>
              <w:t xml:space="preserve"> priemonių įgyvendinimas</w:t>
            </w:r>
            <w:r w:rsidR="00B67CA4" w:rsidRPr="00096768">
              <w:rPr>
                <w:szCs w:val="24"/>
              </w:rPr>
              <w:t>“</w:t>
            </w:r>
          </w:p>
        </w:tc>
      </w:tr>
      <w:tr w:rsidR="00096768" w:rsidRPr="00096768" w14:paraId="31AE92AE" w14:textId="77777777">
        <w:tc>
          <w:tcPr>
            <w:tcW w:w="6345" w:type="dxa"/>
            <w:shd w:val="clear" w:color="auto" w:fill="auto"/>
            <w:vAlign w:val="center"/>
          </w:tcPr>
          <w:p w14:paraId="06EF78B7" w14:textId="77C8EE32" w:rsidR="00083837" w:rsidRPr="00096768" w:rsidRDefault="00DF2F6F">
            <w:pPr>
              <w:widowControl w:val="0"/>
              <w:textAlignment w:val="baseline"/>
              <w:rPr>
                <w:b/>
                <w:szCs w:val="24"/>
              </w:rPr>
            </w:pPr>
            <w:r w:rsidRPr="00096768">
              <w:rPr>
                <w:b/>
                <w:szCs w:val="24"/>
              </w:rPr>
              <w:t>Pažangos priemonės veiklai (</w:t>
            </w:r>
            <w:proofErr w:type="spellStart"/>
            <w:r w:rsidRPr="00096768">
              <w:rPr>
                <w:b/>
                <w:szCs w:val="24"/>
              </w:rPr>
              <w:t>poveiklei</w:t>
            </w:r>
            <w:proofErr w:type="spellEnd"/>
            <w:r w:rsidRPr="00096768">
              <w:rPr>
                <w:b/>
                <w:szCs w:val="24"/>
              </w:rPr>
              <w:t>) skirta finansavimo suma (mln. eurų)</w:t>
            </w:r>
          </w:p>
        </w:tc>
        <w:tc>
          <w:tcPr>
            <w:tcW w:w="9008" w:type="dxa"/>
            <w:shd w:val="clear" w:color="auto" w:fill="auto"/>
            <w:vAlign w:val="center"/>
          </w:tcPr>
          <w:p w14:paraId="2BF6AF44" w14:textId="1D18031A" w:rsidR="00083837" w:rsidRPr="00096768" w:rsidRDefault="00095B74">
            <w:pPr>
              <w:widowControl w:val="0"/>
              <w:textAlignment w:val="baseline"/>
              <w:rPr>
                <w:szCs w:val="24"/>
              </w:rPr>
            </w:pPr>
            <w:r w:rsidRPr="00096768">
              <w:rPr>
                <w:szCs w:val="24"/>
                <w:lang w:val="en-US"/>
              </w:rPr>
              <w:t>8 50</w:t>
            </w:r>
            <w:r w:rsidR="00B57E06" w:rsidRPr="00096768">
              <w:rPr>
                <w:szCs w:val="24"/>
                <w:lang w:val="en-US"/>
              </w:rPr>
              <w:t>0</w:t>
            </w:r>
            <w:r w:rsidR="00B67CA4" w:rsidRPr="00096768">
              <w:rPr>
                <w:szCs w:val="24"/>
                <w:lang w:val="en-US"/>
              </w:rPr>
              <w:t xml:space="preserve"> 000</w:t>
            </w:r>
            <w:r w:rsidR="005A08F8" w:rsidRPr="00096768">
              <w:rPr>
                <w:szCs w:val="24"/>
              </w:rPr>
              <w:t xml:space="preserve"> Eur</w:t>
            </w:r>
            <w:r w:rsidR="003C6A19" w:rsidRPr="00096768">
              <w:rPr>
                <w:szCs w:val="24"/>
              </w:rPr>
              <w:t xml:space="preserve"> iš jų E</w:t>
            </w:r>
            <w:r w:rsidR="00B57E06" w:rsidRPr="00096768">
              <w:rPr>
                <w:szCs w:val="24"/>
              </w:rPr>
              <w:t>J</w:t>
            </w:r>
            <w:r w:rsidR="003C6A19" w:rsidRPr="00096768">
              <w:rPr>
                <w:szCs w:val="24"/>
              </w:rPr>
              <w:t xml:space="preserve">RŽAF </w:t>
            </w:r>
            <w:r w:rsidRPr="00096768">
              <w:rPr>
                <w:szCs w:val="24"/>
              </w:rPr>
              <w:t>5 950</w:t>
            </w:r>
            <w:r w:rsidR="003C6A19" w:rsidRPr="00096768">
              <w:rPr>
                <w:szCs w:val="24"/>
              </w:rPr>
              <w:t> 000 Eur</w:t>
            </w:r>
          </w:p>
        </w:tc>
      </w:tr>
      <w:tr w:rsidR="00096768" w:rsidRPr="00096768" w14:paraId="390279EA" w14:textId="77777777">
        <w:tc>
          <w:tcPr>
            <w:tcW w:w="6345" w:type="dxa"/>
            <w:shd w:val="clear" w:color="auto" w:fill="auto"/>
            <w:vAlign w:val="center"/>
          </w:tcPr>
          <w:p w14:paraId="113DE1EC" w14:textId="78882A84" w:rsidR="00083837" w:rsidRPr="00096768" w:rsidRDefault="00DF2F6F">
            <w:pPr>
              <w:widowControl w:val="0"/>
              <w:textAlignment w:val="baseline"/>
              <w:rPr>
                <w:b/>
                <w:szCs w:val="24"/>
              </w:rPr>
            </w:pPr>
            <w:r w:rsidRPr="00096768">
              <w:rPr>
                <w:b/>
                <w:szCs w:val="24"/>
              </w:rPr>
              <w:t>Finansavimo šaltinis (-</w:t>
            </w:r>
            <w:proofErr w:type="spellStart"/>
            <w:r w:rsidRPr="00096768">
              <w:rPr>
                <w:b/>
                <w:szCs w:val="24"/>
              </w:rPr>
              <w:t>iai</w:t>
            </w:r>
            <w:proofErr w:type="spellEnd"/>
            <w:r w:rsidRPr="00096768">
              <w:rPr>
                <w:b/>
                <w:szCs w:val="24"/>
              </w:rPr>
              <w:t>)</w:t>
            </w:r>
          </w:p>
        </w:tc>
        <w:tc>
          <w:tcPr>
            <w:tcW w:w="9008" w:type="dxa"/>
            <w:shd w:val="clear" w:color="auto" w:fill="auto"/>
            <w:vAlign w:val="center"/>
          </w:tcPr>
          <w:p w14:paraId="0E10E3DE" w14:textId="2F3ADCAC" w:rsidR="00083837" w:rsidRPr="00096768" w:rsidRDefault="000D2DCE">
            <w:pPr>
              <w:rPr>
                <w:szCs w:val="24"/>
              </w:rPr>
            </w:pPr>
            <w:r w:rsidRPr="00096768">
              <w:rPr>
                <w:szCs w:val="24"/>
              </w:rPr>
              <w:t xml:space="preserve">Lietuvos žuvininkystės sektoriaus </w:t>
            </w:r>
            <w:r w:rsidR="00DF2F6F" w:rsidRPr="00096768">
              <w:rPr>
                <w:szCs w:val="24"/>
              </w:rPr>
              <w:t>2021–2027 metų program</w:t>
            </w:r>
            <w:r w:rsidR="00510CF2" w:rsidRPr="00096768">
              <w:rPr>
                <w:szCs w:val="24"/>
              </w:rPr>
              <w:t>os lėšos</w:t>
            </w:r>
          </w:p>
        </w:tc>
      </w:tr>
      <w:tr w:rsidR="00096768" w:rsidRPr="00096768" w14:paraId="4C57846C" w14:textId="77777777">
        <w:tc>
          <w:tcPr>
            <w:tcW w:w="6345" w:type="dxa"/>
            <w:shd w:val="clear" w:color="auto" w:fill="auto"/>
            <w:vAlign w:val="center"/>
          </w:tcPr>
          <w:p w14:paraId="2F0BDDAD" w14:textId="0F59C7D9" w:rsidR="00083837" w:rsidRPr="00096768" w:rsidRDefault="000D2DCE">
            <w:pPr>
              <w:widowControl w:val="0"/>
              <w:textAlignment w:val="baseline"/>
              <w:rPr>
                <w:b/>
                <w:szCs w:val="24"/>
              </w:rPr>
            </w:pPr>
            <w:r w:rsidRPr="00096768">
              <w:rPr>
                <w:b/>
                <w:bCs/>
                <w:szCs w:val="24"/>
              </w:rPr>
              <w:t>Konkretus tikslas</w:t>
            </w:r>
          </w:p>
        </w:tc>
        <w:tc>
          <w:tcPr>
            <w:tcW w:w="9008" w:type="dxa"/>
            <w:shd w:val="clear" w:color="auto" w:fill="auto"/>
            <w:vAlign w:val="center"/>
          </w:tcPr>
          <w:p w14:paraId="7543FD40" w14:textId="40A29895" w:rsidR="00083837" w:rsidRPr="00096768" w:rsidRDefault="000D2DCE">
            <w:pPr>
              <w:widowControl w:val="0"/>
              <w:textAlignment w:val="baseline"/>
              <w:rPr>
                <w:szCs w:val="24"/>
              </w:rPr>
            </w:pPr>
            <w:r w:rsidRPr="00096768">
              <w:rPr>
                <w:szCs w:val="24"/>
              </w:rPr>
              <w:t>P</w:t>
            </w:r>
            <w:r w:rsidR="00DF2F6F" w:rsidRPr="00096768">
              <w:rPr>
                <w:szCs w:val="24"/>
              </w:rPr>
              <w:t xml:space="preserve">rogramos </w:t>
            </w:r>
            <w:r w:rsidRPr="00096768">
              <w:rPr>
                <w:szCs w:val="24"/>
                <w:lang w:val="en-US"/>
              </w:rPr>
              <w:t>2.</w:t>
            </w:r>
            <w:r w:rsidR="00B67CA4" w:rsidRPr="00096768">
              <w:rPr>
                <w:szCs w:val="24"/>
                <w:lang w:val="en-US"/>
              </w:rPr>
              <w:t>1</w:t>
            </w:r>
            <w:r w:rsidRPr="00096768">
              <w:rPr>
                <w:szCs w:val="24"/>
                <w:lang w:val="en-US"/>
              </w:rPr>
              <w:t xml:space="preserve">. </w:t>
            </w:r>
            <w:proofErr w:type="spellStart"/>
            <w:r w:rsidRPr="00096768">
              <w:rPr>
                <w:szCs w:val="24"/>
                <w:lang w:val="en-US"/>
              </w:rPr>
              <w:t>konkretus</w:t>
            </w:r>
            <w:proofErr w:type="spellEnd"/>
            <w:r w:rsidRPr="00096768">
              <w:rPr>
                <w:szCs w:val="24"/>
                <w:lang w:val="en-US"/>
              </w:rPr>
              <w:t xml:space="preserve"> </w:t>
            </w:r>
            <w:proofErr w:type="spellStart"/>
            <w:r w:rsidRPr="00096768">
              <w:rPr>
                <w:szCs w:val="24"/>
                <w:lang w:val="en-US"/>
              </w:rPr>
              <w:t>tikslas</w:t>
            </w:r>
            <w:proofErr w:type="spellEnd"/>
            <w:r w:rsidR="00DE1A6A" w:rsidRPr="00096768">
              <w:rPr>
                <w:szCs w:val="24"/>
              </w:rPr>
              <w:t xml:space="preserve"> </w:t>
            </w:r>
            <w:r w:rsidR="00235CEB" w:rsidRPr="00096768">
              <w:rPr>
                <w:szCs w:val="24"/>
              </w:rPr>
              <w:t>„</w:t>
            </w:r>
            <w:r w:rsidR="00B67CA4" w:rsidRPr="00096768">
              <w:rPr>
                <w:szCs w:val="24"/>
              </w:rPr>
              <w:t>Skatinti darnią akvakultūros veiklą, visų pirma didinti akvakultūros produktų gamybos konkurencingumą, kartu užtikrinant, kad veikla būtų aplinkos požiūriu tvari ilguoju laikotarpiu</w:t>
            </w:r>
            <w:r w:rsidR="00235CEB" w:rsidRPr="00096768">
              <w:rPr>
                <w:szCs w:val="24"/>
              </w:rPr>
              <w:t>“</w:t>
            </w:r>
            <w:r w:rsidR="00BF0529" w:rsidRPr="00096768">
              <w:rPr>
                <w:szCs w:val="24"/>
              </w:rPr>
              <w:t xml:space="preserve"> </w:t>
            </w:r>
          </w:p>
        </w:tc>
      </w:tr>
      <w:tr w:rsidR="00096768" w:rsidRPr="00096768" w14:paraId="336BAD4A" w14:textId="77777777">
        <w:tc>
          <w:tcPr>
            <w:tcW w:w="6345" w:type="dxa"/>
            <w:shd w:val="clear" w:color="auto" w:fill="auto"/>
            <w:vAlign w:val="center"/>
          </w:tcPr>
          <w:p w14:paraId="3F00C7BD" w14:textId="4D595484" w:rsidR="00083837" w:rsidRPr="00096768" w:rsidRDefault="00DF2F6F">
            <w:pPr>
              <w:widowControl w:val="0"/>
              <w:textAlignment w:val="baseline"/>
              <w:rPr>
                <w:b/>
                <w:szCs w:val="24"/>
              </w:rPr>
            </w:pPr>
            <w:r w:rsidRPr="00096768">
              <w:rPr>
                <w:b/>
                <w:szCs w:val="24"/>
              </w:rPr>
              <w:t>Projektų atrankos būdas (finansavimo forma, kai įgyvendinamos finansinės priemonės)</w:t>
            </w:r>
          </w:p>
        </w:tc>
        <w:tc>
          <w:tcPr>
            <w:tcW w:w="9008" w:type="dxa"/>
            <w:shd w:val="clear" w:color="auto" w:fill="auto"/>
            <w:vAlign w:val="center"/>
          </w:tcPr>
          <w:p w14:paraId="1BFB854A" w14:textId="77777777" w:rsidR="00083837" w:rsidRPr="00096768" w:rsidRDefault="00DF2F6F">
            <w:pPr>
              <w:widowControl w:val="0"/>
              <w:textAlignment w:val="baseline"/>
              <w:rPr>
                <w:szCs w:val="24"/>
              </w:rPr>
            </w:pPr>
            <w:r w:rsidRPr="00096768">
              <w:rPr>
                <w:b/>
                <w:bCs/>
                <w:szCs w:val="24"/>
                <w:lang w:eastAsia="lt-LT"/>
              </w:rPr>
              <w:sym w:font="Times New Roman" w:char="F07F"/>
            </w:r>
            <w:r w:rsidRPr="00096768">
              <w:rPr>
                <w:szCs w:val="24"/>
              </w:rPr>
              <w:t xml:space="preserve"> Planavimo</w:t>
            </w:r>
          </w:p>
          <w:p w14:paraId="1B352361" w14:textId="4DA4EDE0" w:rsidR="00083837" w:rsidRPr="00096768" w:rsidRDefault="001F70D1">
            <w:pPr>
              <w:widowControl w:val="0"/>
              <w:textAlignment w:val="baseline"/>
              <w:rPr>
                <w:szCs w:val="24"/>
              </w:rPr>
            </w:pPr>
            <w:r w:rsidRPr="00096768">
              <w:rPr>
                <w:b/>
                <w:bCs/>
                <w:szCs w:val="24"/>
                <w:lang w:eastAsia="lt-LT"/>
              </w:rPr>
              <w:sym w:font="Times New Roman" w:char="F07F"/>
            </w:r>
            <w:r w:rsidRPr="00096768">
              <w:rPr>
                <w:b/>
                <w:bCs/>
                <w:szCs w:val="24"/>
                <w:lang w:eastAsia="lt-LT"/>
              </w:rPr>
              <w:t xml:space="preserve"> </w:t>
            </w:r>
            <w:r w:rsidR="00DF2F6F" w:rsidRPr="00096768">
              <w:rPr>
                <w:szCs w:val="24"/>
              </w:rPr>
              <w:t>Konkurso</w:t>
            </w:r>
          </w:p>
          <w:p w14:paraId="609AFC41" w14:textId="0D4D1CDB" w:rsidR="00083837" w:rsidRPr="00096768" w:rsidRDefault="001F70D1">
            <w:pPr>
              <w:widowControl w:val="0"/>
              <w:textAlignment w:val="baseline"/>
              <w:rPr>
                <w:szCs w:val="24"/>
              </w:rPr>
            </w:pPr>
            <w:r w:rsidRPr="00096768">
              <w:rPr>
                <w:b/>
                <w:bCs/>
                <w:szCs w:val="24"/>
                <w:lang w:eastAsia="lt-LT"/>
              </w:rPr>
              <w:t xml:space="preserve">x </w:t>
            </w:r>
            <w:r w:rsidRPr="00096768">
              <w:rPr>
                <w:szCs w:val="24"/>
              </w:rPr>
              <w:t xml:space="preserve">Kompensacijų </w:t>
            </w:r>
          </w:p>
          <w:p w14:paraId="19502A19" w14:textId="6F8ECD49" w:rsidR="00083837" w:rsidRPr="00096768" w:rsidRDefault="00DF2F6F">
            <w:pPr>
              <w:widowControl w:val="0"/>
              <w:textAlignment w:val="baseline"/>
              <w:rPr>
                <w:szCs w:val="24"/>
              </w:rPr>
            </w:pPr>
            <w:r w:rsidRPr="00096768">
              <w:rPr>
                <w:b/>
                <w:bCs/>
                <w:szCs w:val="24"/>
                <w:lang w:eastAsia="lt-LT"/>
              </w:rPr>
              <w:sym w:font="Times New Roman" w:char="F07F"/>
            </w:r>
            <w:r w:rsidRPr="00096768">
              <w:rPr>
                <w:b/>
                <w:bCs/>
                <w:szCs w:val="24"/>
                <w:lang w:eastAsia="lt-LT"/>
              </w:rPr>
              <w:t xml:space="preserve"> </w:t>
            </w:r>
            <w:r w:rsidRPr="00096768">
              <w:rPr>
                <w:bCs/>
                <w:szCs w:val="24"/>
                <w:lang w:eastAsia="lt-LT"/>
              </w:rPr>
              <w:t>Finansinė priemonė</w:t>
            </w:r>
          </w:p>
        </w:tc>
      </w:tr>
      <w:tr w:rsidR="00096768" w:rsidRPr="00096768" w14:paraId="424A16BA" w14:textId="77777777" w:rsidTr="00F85313">
        <w:trPr>
          <w:trHeight w:val="341"/>
        </w:trPr>
        <w:tc>
          <w:tcPr>
            <w:tcW w:w="6345" w:type="dxa"/>
            <w:shd w:val="clear" w:color="auto" w:fill="auto"/>
            <w:vAlign w:val="center"/>
          </w:tcPr>
          <w:p w14:paraId="44E3D02A" w14:textId="62C2CCFF" w:rsidR="00083837" w:rsidRPr="00096768" w:rsidRDefault="00DF2F6F">
            <w:pPr>
              <w:widowControl w:val="0"/>
              <w:textAlignment w:val="baseline"/>
              <w:rPr>
                <w:b/>
                <w:szCs w:val="24"/>
              </w:rPr>
            </w:pPr>
            <w:r w:rsidRPr="00096768">
              <w:rPr>
                <w:b/>
                <w:szCs w:val="24"/>
              </w:rPr>
              <w:t xml:space="preserve">Atitiktis horizontaliesiems principams (toliau – HP) </w:t>
            </w:r>
          </w:p>
        </w:tc>
        <w:tc>
          <w:tcPr>
            <w:tcW w:w="9008" w:type="dxa"/>
            <w:shd w:val="clear" w:color="auto" w:fill="auto"/>
            <w:vAlign w:val="center"/>
          </w:tcPr>
          <w:p w14:paraId="72B5C4C1" w14:textId="6DFAC316" w:rsidR="00083837" w:rsidRPr="00096768" w:rsidRDefault="00371BB7" w:rsidP="00691C3E">
            <w:pPr>
              <w:tabs>
                <w:tab w:val="left" w:pos="426"/>
                <w:tab w:val="left" w:pos="709"/>
              </w:tabs>
              <w:jc w:val="both"/>
              <w:rPr>
                <w:bCs/>
                <w:iCs/>
                <w:szCs w:val="24"/>
              </w:rPr>
            </w:pPr>
            <w:r w:rsidRPr="00096768">
              <w:rPr>
                <w:bCs/>
                <w:iCs/>
                <w:szCs w:val="24"/>
              </w:rPr>
              <w:t xml:space="preserve">Tiesiogiai </w:t>
            </w:r>
            <w:r w:rsidR="003C6A19" w:rsidRPr="00096768">
              <w:rPr>
                <w:bCs/>
                <w:iCs/>
                <w:szCs w:val="24"/>
              </w:rPr>
              <w:t>ne</w:t>
            </w:r>
            <w:r w:rsidRPr="00096768">
              <w:rPr>
                <w:bCs/>
                <w:iCs/>
                <w:szCs w:val="24"/>
              </w:rPr>
              <w:t>pr</w:t>
            </w:r>
            <w:r w:rsidR="00D27B81" w:rsidRPr="00096768">
              <w:rPr>
                <w:bCs/>
                <w:iCs/>
                <w:szCs w:val="24"/>
              </w:rPr>
              <w:t>i</w:t>
            </w:r>
            <w:r w:rsidRPr="00096768">
              <w:rPr>
                <w:bCs/>
                <w:iCs/>
                <w:szCs w:val="24"/>
              </w:rPr>
              <w:t>sideda prie HP įgyvendinimo</w:t>
            </w:r>
            <w:r w:rsidR="003C6A19" w:rsidRPr="00096768">
              <w:rPr>
                <w:bCs/>
                <w:iCs/>
                <w:szCs w:val="24"/>
              </w:rPr>
              <w:t>.</w:t>
            </w:r>
          </w:p>
        </w:tc>
      </w:tr>
      <w:tr w:rsidR="00083837" w:rsidRPr="00096768" w14:paraId="54710AA5" w14:textId="77777777" w:rsidTr="00F85313">
        <w:trPr>
          <w:trHeight w:val="476"/>
        </w:trPr>
        <w:tc>
          <w:tcPr>
            <w:tcW w:w="6345" w:type="dxa"/>
            <w:shd w:val="clear" w:color="auto" w:fill="auto"/>
            <w:vAlign w:val="center"/>
          </w:tcPr>
          <w:p w14:paraId="1E4E3BC5" w14:textId="6D0B3A27" w:rsidR="00083837" w:rsidRPr="00096768" w:rsidRDefault="00DF2F6F">
            <w:pPr>
              <w:widowControl w:val="0"/>
              <w:textAlignment w:val="baseline"/>
              <w:rPr>
                <w:b/>
                <w:szCs w:val="24"/>
              </w:rPr>
            </w:pPr>
            <w:r w:rsidRPr="00096768">
              <w:rPr>
                <w:b/>
                <w:szCs w:val="24"/>
              </w:rPr>
              <w:t>Atitiktis Europos Sąjungos pagrindinių teisių chartijai (toliau – Chartija)</w:t>
            </w:r>
          </w:p>
        </w:tc>
        <w:tc>
          <w:tcPr>
            <w:tcW w:w="9008" w:type="dxa"/>
            <w:shd w:val="clear" w:color="auto" w:fill="auto"/>
            <w:vAlign w:val="center"/>
          </w:tcPr>
          <w:p w14:paraId="3A57C6C3" w14:textId="325C0DB7" w:rsidR="00083837" w:rsidRPr="00096768" w:rsidRDefault="002175B0" w:rsidP="003C6A19">
            <w:pPr>
              <w:overflowPunct w:val="0"/>
              <w:jc w:val="both"/>
              <w:textAlignment w:val="baseline"/>
              <w:rPr>
                <w:bCs/>
                <w:i/>
                <w:szCs w:val="24"/>
                <w:lang w:eastAsia="lt-LT"/>
              </w:rPr>
            </w:pPr>
            <w:r w:rsidRPr="00096768">
              <w:rPr>
                <w:szCs w:val="24"/>
                <w:lang w:eastAsia="lt-LT"/>
              </w:rPr>
              <w:t xml:space="preserve">Tiesiogiai </w:t>
            </w:r>
            <w:r w:rsidR="003C6A19" w:rsidRPr="00096768">
              <w:rPr>
                <w:szCs w:val="24"/>
                <w:lang w:eastAsia="lt-LT"/>
              </w:rPr>
              <w:t>ne</w:t>
            </w:r>
            <w:r w:rsidRPr="00096768">
              <w:rPr>
                <w:szCs w:val="24"/>
                <w:lang w:eastAsia="lt-LT"/>
              </w:rPr>
              <w:t xml:space="preserve">prisidedama prie </w:t>
            </w:r>
            <w:r w:rsidR="003C6A19" w:rsidRPr="00096768">
              <w:rPr>
                <w:szCs w:val="24"/>
                <w:lang w:eastAsia="lt-LT"/>
              </w:rPr>
              <w:t xml:space="preserve">Chartijos įgyvendinimo </w:t>
            </w:r>
            <w:r w:rsidR="00E50740" w:rsidRPr="00096768">
              <w:rPr>
                <w:szCs w:val="24"/>
                <w:lang w:eastAsia="lt-LT"/>
              </w:rPr>
              <w:t>.</w:t>
            </w:r>
          </w:p>
        </w:tc>
      </w:tr>
    </w:tbl>
    <w:p w14:paraId="2A20A757" w14:textId="77777777" w:rsidR="00083837" w:rsidRPr="00096768" w:rsidRDefault="00083837">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8866"/>
      </w:tblGrid>
      <w:tr w:rsidR="00096768" w:rsidRPr="00096768" w14:paraId="51B3363E" w14:textId="77777777">
        <w:tc>
          <w:tcPr>
            <w:tcW w:w="6345" w:type="dxa"/>
            <w:shd w:val="clear" w:color="auto" w:fill="auto"/>
          </w:tcPr>
          <w:p w14:paraId="41C0751E" w14:textId="2BC83EE9" w:rsidR="00083837" w:rsidRPr="00096768" w:rsidRDefault="00DF2F6F">
            <w:pPr>
              <w:widowControl w:val="0"/>
              <w:jc w:val="both"/>
              <w:textAlignment w:val="baseline"/>
              <w:rPr>
                <w:b/>
                <w:bCs/>
                <w:szCs w:val="24"/>
                <w:lang w:eastAsia="lt-LT"/>
              </w:rPr>
            </w:pPr>
            <w:r w:rsidRPr="00096768">
              <w:rPr>
                <w:szCs w:val="24"/>
              </w:rPr>
              <w:br w:type="page"/>
            </w:r>
            <w:r w:rsidR="00E01A64" w:rsidRPr="00096768">
              <w:rPr>
                <w:b/>
                <w:bCs/>
                <w:szCs w:val="24"/>
                <w:lang w:eastAsia="lt-LT"/>
              </w:rPr>
              <w:t>x</w:t>
            </w:r>
            <w:r w:rsidRPr="00096768">
              <w:rPr>
                <w:b/>
                <w:bCs/>
                <w:szCs w:val="24"/>
                <w:lang w:eastAsia="lt-LT"/>
              </w:rPr>
              <w:t xml:space="preserve"> SPECIALUSIS PROJEKTŲ ATRANKOS KRITERIJUS</w:t>
            </w:r>
          </w:p>
          <w:p w14:paraId="0F59E8CD" w14:textId="7824706F" w:rsidR="00083837" w:rsidRPr="00096768" w:rsidRDefault="00E01A64">
            <w:pPr>
              <w:widowControl w:val="0"/>
              <w:jc w:val="both"/>
              <w:textAlignment w:val="baseline"/>
              <w:rPr>
                <w:b/>
                <w:bCs/>
                <w:szCs w:val="24"/>
                <w:lang w:eastAsia="lt-LT"/>
              </w:rPr>
            </w:pPr>
            <w:r w:rsidRPr="00096768">
              <w:rPr>
                <w:b/>
                <w:bCs/>
                <w:szCs w:val="24"/>
                <w:lang w:eastAsia="lt-LT"/>
              </w:rPr>
              <w:t xml:space="preserve"> </w:t>
            </w:r>
            <w:r w:rsidR="00DF2F6F" w:rsidRPr="00096768">
              <w:rPr>
                <w:b/>
                <w:bCs/>
                <w:szCs w:val="24"/>
                <w:lang w:eastAsia="lt-LT"/>
              </w:rPr>
              <w:t>PRIORITETINIS PROJEKTŲ ATRANKOS KRITERIJUS</w:t>
            </w:r>
          </w:p>
          <w:p w14:paraId="0744BF57" w14:textId="77777777" w:rsidR="00083837" w:rsidRPr="00096768" w:rsidRDefault="00DF2F6F">
            <w:pPr>
              <w:widowControl w:val="0"/>
              <w:jc w:val="both"/>
              <w:textAlignment w:val="baseline"/>
              <w:rPr>
                <w:b/>
                <w:bCs/>
                <w:szCs w:val="24"/>
                <w:lang w:eastAsia="lt-LT"/>
              </w:rPr>
            </w:pPr>
            <w:r w:rsidRPr="00096768">
              <w:rPr>
                <w:i/>
                <w:szCs w:val="24"/>
              </w:rPr>
              <w:t>(Pažymimas vienas iš galimų projektų atrankos kriterijų tipų.)</w:t>
            </w:r>
          </w:p>
        </w:tc>
        <w:tc>
          <w:tcPr>
            <w:tcW w:w="9008" w:type="dxa"/>
            <w:shd w:val="clear" w:color="auto" w:fill="auto"/>
          </w:tcPr>
          <w:p w14:paraId="736D2F4A" w14:textId="35E6E349" w:rsidR="00083837" w:rsidRPr="00096768" w:rsidRDefault="00DF2F6F">
            <w:pPr>
              <w:widowControl w:val="0"/>
              <w:jc w:val="both"/>
              <w:textAlignment w:val="baseline"/>
              <w:rPr>
                <w:b/>
                <w:bCs/>
                <w:szCs w:val="24"/>
                <w:lang w:eastAsia="lt-LT"/>
              </w:rPr>
            </w:pPr>
            <w:r w:rsidRPr="00096768">
              <w:rPr>
                <w:b/>
                <w:bCs/>
                <w:szCs w:val="24"/>
                <w:lang w:eastAsia="lt-LT"/>
              </w:rPr>
              <w:t>x Nustatymas</w:t>
            </w:r>
          </w:p>
          <w:p w14:paraId="3EBC1D0C" w14:textId="4F0CFC23" w:rsidR="00083837" w:rsidRPr="00096768" w:rsidRDefault="00DF2F6F">
            <w:pPr>
              <w:widowControl w:val="0"/>
              <w:jc w:val="both"/>
              <w:textAlignment w:val="baseline"/>
              <w:rPr>
                <w:szCs w:val="24"/>
              </w:rPr>
            </w:pPr>
            <w:r w:rsidRPr="00096768">
              <w:rPr>
                <w:b/>
                <w:bCs/>
                <w:szCs w:val="24"/>
                <w:lang w:eastAsia="lt-LT"/>
              </w:rPr>
              <w:sym w:font="Times New Roman" w:char="F07F"/>
            </w:r>
            <w:r w:rsidRPr="00096768">
              <w:rPr>
                <w:b/>
                <w:bCs/>
                <w:szCs w:val="24"/>
                <w:lang w:eastAsia="lt-LT"/>
              </w:rPr>
              <w:t xml:space="preserve"> Keitimas</w:t>
            </w:r>
          </w:p>
        </w:tc>
      </w:tr>
      <w:tr w:rsidR="00096768" w:rsidRPr="00096768" w14:paraId="6C9B72A7" w14:textId="77777777">
        <w:tc>
          <w:tcPr>
            <w:tcW w:w="6345" w:type="dxa"/>
            <w:shd w:val="clear" w:color="auto" w:fill="auto"/>
            <w:vAlign w:val="center"/>
          </w:tcPr>
          <w:p w14:paraId="6334BD0A" w14:textId="6FE24095" w:rsidR="00083837" w:rsidRPr="00096768" w:rsidRDefault="00DF2F6F">
            <w:pPr>
              <w:widowControl w:val="0"/>
              <w:textAlignment w:val="baseline"/>
              <w:rPr>
                <w:b/>
                <w:bCs/>
                <w:szCs w:val="24"/>
                <w:lang w:eastAsia="lt-LT"/>
              </w:rPr>
            </w:pPr>
            <w:r w:rsidRPr="00096768">
              <w:rPr>
                <w:b/>
                <w:bCs/>
                <w:szCs w:val="24"/>
                <w:lang w:eastAsia="lt-LT"/>
              </w:rPr>
              <w:t>Projektų atrankos kriterijaus numeris ir pavadinimas</w:t>
            </w:r>
          </w:p>
        </w:tc>
        <w:tc>
          <w:tcPr>
            <w:tcW w:w="9008" w:type="dxa"/>
            <w:shd w:val="clear" w:color="auto" w:fill="auto"/>
          </w:tcPr>
          <w:p w14:paraId="794524A3" w14:textId="71F45C46" w:rsidR="00083837" w:rsidRPr="00096768" w:rsidRDefault="002375B1" w:rsidP="00E01A64">
            <w:pPr>
              <w:widowControl w:val="0"/>
              <w:jc w:val="both"/>
              <w:textAlignment w:val="baseline"/>
              <w:rPr>
                <w:szCs w:val="24"/>
                <w:lang w:eastAsia="lt-LT"/>
              </w:rPr>
            </w:pPr>
            <w:r w:rsidRPr="00096768">
              <w:rPr>
                <w:szCs w:val="24"/>
                <w:lang w:eastAsia="lt-LT"/>
              </w:rPr>
              <w:t xml:space="preserve">1. </w:t>
            </w:r>
            <w:r w:rsidR="003F3A63" w:rsidRPr="00096768">
              <w:rPr>
                <w:szCs w:val="24"/>
                <w:lang w:eastAsia="lt-LT"/>
              </w:rPr>
              <w:t>Pareiškėjas yra Pramoninis akvakultūros tvenkinių ūkis (kaip nustatyta Žuvininkystės įstatyme)</w:t>
            </w:r>
            <w:r w:rsidR="003B1514" w:rsidRPr="00096768">
              <w:rPr>
                <w:i/>
                <w:iCs/>
                <w:szCs w:val="24"/>
                <w:lang w:eastAsia="lt-LT"/>
              </w:rPr>
              <w:t>;</w:t>
            </w:r>
          </w:p>
        </w:tc>
      </w:tr>
      <w:tr w:rsidR="00096768" w:rsidRPr="00096768" w14:paraId="225452A9" w14:textId="77777777">
        <w:tc>
          <w:tcPr>
            <w:tcW w:w="6345" w:type="dxa"/>
            <w:shd w:val="clear" w:color="auto" w:fill="auto"/>
            <w:vAlign w:val="center"/>
          </w:tcPr>
          <w:p w14:paraId="228A712C" w14:textId="56261FD1" w:rsidR="00083837" w:rsidRPr="00096768" w:rsidRDefault="00DF2F6F">
            <w:pPr>
              <w:widowControl w:val="0"/>
              <w:textAlignment w:val="baseline"/>
              <w:rPr>
                <w:b/>
                <w:bCs/>
                <w:szCs w:val="24"/>
                <w:lang w:eastAsia="lt-LT"/>
              </w:rPr>
            </w:pPr>
            <w:r w:rsidRPr="00096768">
              <w:rPr>
                <w:b/>
                <w:bCs/>
                <w:szCs w:val="24"/>
                <w:lang w:eastAsia="lt-LT"/>
              </w:rPr>
              <w:t>Projektų atrankos kriterijaus vertinimo metodas ir taikymas</w:t>
            </w:r>
          </w:p>
        </w:tc>
        <w:tc>
          <w:tcPr>
            <w:tcW w:w="9008" w:type="dxa"/>
            <w:shd w:val="clear" w:color="auto" w:fill="auto"/>
          </w:tcPr>
          <w:p w14:paraId="51BF9DA0" w14:textId="44874DA5" w:rsidR="003F3A63" w:rsidRPr="00096768" w:rsidRDefault="003F3A63" w:rsidP="003F3A63">
            <w:pPr>
              <w:widowControl w:val="0"/>
              <w:jc w:val="both"/>
              <w:textAlignment w:val="baseline"/>
              <w:rPr>
                <w:szCs w:val="24"/>
                <w:lang w:eastAsia="lt-LT"/>
              </w:rPr>
            </w:pPr>
            <w:r w:rsidRPr="00096768">
              <w:rPr>
                <w:szCs w:val="24"/>
                <w:lang w:eastAsia="lt-LT"/>
              </w:rPr>
              <w:t>Žuvininkystės įstatymo 24 straipsnio 5 dalyje numatyta, kad Pramoniniams akvakultūros tvenkinių ūkiams priskiriami akvakultūros tvenkinių ūkiai, atitinkantys šiuos kriterijus:</w:t>
            </w:r>
          </w:p>
          <w:p w14:paraId="3D949B49" w14:textId="77777777" w:rsidR="003F3A63" w:rsidRPr="00096768" w:rsidRDefault="003F3A63" w:rsidP="003F3A63">
            <w:pPr>
              <w:widowControl w:val="0"/>
              <w:jc w:val="both"/>
              <w:textAlignment w:val="baseline"/>
              <w:rPr>
                <w:szCs w:val="24"/>
                <w:lang w:eastAsia="lt-LT"/>
              </w:rPr>
            </w:pPr>
            <w:r w:rsidRPr="00096768">
              <w:rPr>
                <w:szCs w:val="24"/>
                <w:lang w:eastAsia="lt-LT"/>
              </w:rPr>
              <w:t>1) akvakultūros tvenkinių plotas ne mažesnis kaip 60 ha;</w:t>
            </w:r>
          </w:p>
          <w:p w14:paraId="337AC684" w14:textId="77777777" w:rsidR="00083837" w:rsidRPr="00096768" w:rsidRDefault="003F3A63" w:rsidP="003F3A63">
            <w:pPr>
              <w:widowControl w:val="0"/>
              <w:jc w:val="both"/>
              <w:textAlignment w:val="baseline"/>
              <w:rPr>
                <w:szCs w:val="24"/>
                <w:lang w:eastAsia="lt-LT"/>
              </w:rPr>
            </w:pPr>
            <w:r w:rsidRPr="00096768">
              <w:rPr>
                <w:szCs w:val="24"/>
                <w:lang w:eastAsia="lt-LT"/>
              </w:rPr>
              <w:t>2) išauginamų ir parduodamų žuvų kiekis yra ne mažesnis kaip 10 t per metus.</w:t>
            </w:r>
          </w:p>
          <w:p w14:paraId="74595665" w14:textId="1466B28F" w:rsidR="003F3A63" w:rsidRPr="00096768" w:rsidRDefault="003F3A63" w:rsidP="003F3A63">
            <w:pPr>
              <w:widowControl w:val="0"/>
              <w:jc w:val="both"/>
              <w:textAlignment w:val="baseline"/>
              <w:rPr>
                <w:bCs/>
                <w:iCs/>
                <w:szCs w:val="24"/>
                <w:lang w:eastAsia="lt-LT"/>
              </w:rPr>
            </w:pPr>
            <w:r w:rsidRPr="00096768">
              <w:rPr>
                <w:bCs/>
                <w:iCs/>
                <w:szCs w:val="24"/>
                <w:lang w:eastAsia="lt-LT"/>
              </w:rPr>
              <w:lastRenderedPageBreak/>
              <w:t xml:space="preserve">Atitiktis vertinama VĮ Žemės ūkio duomenų centras duomenimis (metų ėjusių prieš </w:t>
            </w:r>
            <w:r w:rsidR="005E1933" w:rsidRPr="00096768">
              <w:rPr>
                <w:bCs/>
                <w:iCs/>
                <w:szCs w:val="24"/>
                <w:lang w:eastAsia="lt-LT"/>
              </w:rPr>
              <w:t>prašymo skirti kompensaciją (PSK)</w:t>
            </w:r>
            <w:r w:rsidRPr="00096768">
              <w:rPr>
                <w:bCs/>
                <w:iCs/>
                <w:szCs w:val="24"/>
                <w:lang w:eastAsia="lt-LT"/>
              </w:rPr>
              <w:t xml:space="preserve"> pateikimo metus duomenimis). </w:t>
            </w:r>
          </w:p>
        </w:tc>
      </w:tr>
      <w:tr w:rsidR="002614E6" w:rsidRPr="00096768" w14:paraId="394004C0" w14:textId="77777777">
        <w:tc>
          <w:tcPr>
            <w:tcW w:w="6345" w:type="dxa"/>
            <w:shd w:val="clear" w:color="auto" w:fill="auto"/>
            <w:vAlign w:val="center"/>
          </w:tcPr>
          <w:p w14:paraId="17F3DB83" w14:textId="4623DD08" w:rsidR="00083837" w:rsidRPr="00096768" w:rsidRDefault="00DF2F6F">
            <w:pPr>
              <w:widowControl w:val="0"/>
              <w:textAlignment w:val="baseline"/>
              <w:rPr>
                <w:b/>
                <w:bCs/>
                <w:szCs w:val="24"/>
                <w:lang w:eastAsia="lt-LT"/>
              </w:rPr>
            </w:pPr>
            <w:r w:rsidRPr="00096768">
              <w:rPr>
                <w:b/>
                <w:bCs/>
                <w:szCs w:val="24"/>
                <w:lang w:eastAsia="lt-LT"/>
              </w:rPr>
              <w:lastRenderedPageBreak/>
              <w:t>Projektų atrankos kriterijaus pasirinkimo pagrindimas</w:t>
            </w:r>
          </w:p>
        </w:tc>
        <w:tc>
          <w:tcPr>
            <w:tcW w:w="9008" w:type="dxa"/>
            <w:shd w:val="clear" w:color="auto" w:fill="auto"/>
          </w:tcPr>
          <w:p w14:paraId="01E7EB71" w14:textId="22E0BFAE" w:rsidR="00083837" w:rsidRPr="00096768" w:rsidRDefault="003F3A63" w:rsidP="00D9200C">
            <w:pPr>
              <w:overflowPunct w:val="0"/>
              <w:jc w:val="both"/>
              <w:textAlignment w:val="baseline"/>
              <w:rPr>
                <w:szCs w:val="24"/>
                <w:lang w:eastAsia="lt-LT"/>
              </w:rPr>
            </w:pPr>
            <w:r w:rsidRPr="00096768">
              <w:rPr>
                <w:szCs w:val="24"/>
                <w:lang w:eastAsia="lt-LT"/>
              </w:rPr>
              <w:t xml:space="preserve">Atsižvelgiant į išorės ekspertų rekomendacijas, kad </w:t>
            </w:r>
            <w:proofErr w:type="spellStart"/>
            <w:r w:rsidR="003D2A4F" w:rsidRPr="00096768">
              <w:rPr>
                <w:szCs w:val="24"/>
                <w:lang w:eastAsia="lt-LT"/>
              </w:rPr>
              <w:t>gamtotvarkos</w:t>
            </w:r>
            <w:proofErr w:type="spellEnd"/>
            <w:r w:rsidR="003D2A4F" w:rsidRPr="00096768">
              <w:rPr>
                <w:szCs w:val="24"/>
                <w:lang w:eastAsia="lt-LT"/>
              </w:rPr>
              <w:t xml:space="preserve"> priemonių taikymas turi apimti reikšmingą teritoriją.</w:t>
            </w:r>
          </w:p>
        </w:tc>
      </w:tr>
    </w:tbl>
    <w:p w14:paraId="3EDBC686" w14:textId="4225190E" w:rsidR="004E12A8" w:rsidRPr="00096768" w:rsidRDefault="004E12A8">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8865"/>
      </w:tblGrid>
      <w:tr w:rsidR="00096768" w:rsidRPr="00096768" w14:paraId="58AAE01E" w14:textId="77777777" w:rsidTr="00C2107D">
        <w:tc>
          <w:tcPr>
            <w:tcW w:w="6345" w:type="dxa"/>
            <w:shd w:val="clear" w:color="auto" w:fill="auto"/>
          </w:tcPr>
          <w:p w14:paraId="1E31A287" w14:textId="77777777" w:rsidR="001D49EB" w:rsidRPr="00096768" w:rsidRDefault="001D49EB" w:rsidP="00C2107D">
            <w:pPr>
              <w:widowControl w:val="0"/>
              <w:jc w:val="both"/>
              <w:textAlignment w:val="baseline"/>
              <w:rPr>
                <w:b/>
                <w:bCs/>
                <w:szCs w:val="24"/>
                <w:lang w:eastAsia="lt-LT"/>
              </w:rPr>
            </w:pPr>
            <w:r w:rsidRPr="00096768">
              <w:rPr>
                <w:szCs w:val="24"/>
              </w:rPr>
              <w:br w:type="page"/>
            </w:r>
            <w:r w:rsidRPr="00096768">
              <w:rPr>
                <w:b/>
                <w:bCs/>
                <w:szCs w:val="24"/>
                <w:lang w:eastAsia="lt-LT"/>
              </w:rPr>
              <w:t>x SPECIALUSIS PROJEKTŲ ATRANKOS KRITERIJUS</w:t>
            </w:r>
          </w:p>
          <w:p w14:paraId="7134C97D" w14:textId="77777777" w:rsidR="001D49EB" w:rsidRPr="00096768" w:rsidRDefault="001D49EB" w:rsidP="00C2107D">
            <w:pPr>
              <w:widowControl w:val="0"/>
              <w:jc w:val="both"/>
              <w:textAlignment w:val="baseline"/>
              <w:rPr>
                <w:b/>
                <w:bCs/>
                <w:szCs w:val="24"/>
                <w:lang w:eastAsia="lt-LT"/>
              </w:rPr>
            </w:pPr>
            <w:r w:rsidRPr="00096768">
              <w:rPr>
                <w:b/>
                <w:bCs/>
                <w:szCs w:val="24"/>
                <w:lang w:eastAsia="lt-LT"/>
              </w:rPr>
              <w:t> PRIORITETINIS PROJEKTŲ ATRANKOS KRITERIJUS</w:t>
            </w:r>
          </w:p>
          <w:p w14:paraId="1122C64F" w14:textId="77777777" w:rsidR="001D49EB" w:rsidRPr="00096768" w:rsidRDefault="001D49EB" w:rsidP="00C2107D">
            <w:pPr>
              <w:widowControl w:val="0"/>
              <w:jc w:val="both"/>
              <w:textAlignment w:val="baseline"/>
              <w:rPr>
                <w:b/>
                <w:bCs/>
                <w:szCs w:val="24"/>
                <w:lang w:eastAsia="lt-LT"/>
              </w:rPr>
            </w:pPr>
            <w:r w:rsidRPr="00096768">
              <w:rPr>
                <w:i/>
                <w:szCs w:val="24"/>
              </w:rPr>
              <w:t>(Pažymimas vienas iš galimų projektų atrankos kriterijų tipų.)</w:t>
            </w:r>
          </w:p>
        </w:tc>
        <w:tc>
          <w:tcPr>
            <w:tcW w:w="9008" w:type="dxa"/>
            <w:shd w:val="clear" w:color="auto" w:fill="auto"/>
          </w:tcPr>
          <w:p w14:paraId="7E1E8EF3" w14:textId="77777777" w:rsidR="001D49EB" w:rsidRPr="00096768" w:rsidRDefault="001D49EB" w:rsidP="00C2107D">
            <w:pPr>
              <w:widowControl w:val="0"/>
              <w:jc w:val="both"/>
              <w:textAlignment w:val="baseline"/>
              <w:rPr>
                <w:b/>
                <w:bCs/>
                <w:szCs w:val="24"/>
                <w:lang w:eastAsia="lt-LT"/>
              </w:rPr>
            </w:pPr>
            <w:r w:rsidRPr="00096768">
              <w:rPr>
                <w:b/>
                <w:bCs/>
                <w:szCs w:val="24"/>
                <w:lang w:eastAsia="lt-LT"/>
              </w:rPr>
              <w:t>x Nustatymas</w:t>
            </w:r>
          </w:p>
          <w:p w14:paraId="755F00B4" w14:textId="77777777" w:rsidR="001D49EB" w:rsidRPr="00096768" w:rsidRDefault="001D49EB" w:rsidP="00C2107D">
            <w:pPr>
              <w:widowControl w:val="0"/>
              <w:jc w:val="both"/>
              <w:textAlignment w:val="baseline"/>
              <w:rPr>
                <w:szCs w:val="24"/>
              </w:rPr>
            </w:pPr>
            <w:r w:rsidRPr="00096768">
              <w:rPr>
                <w:b/>
                <w:bCs/>
                <w:szCs w:val="24"/>
                <w:lang w:eastAsia="lt-LT"/>
              </w:rPr>
              <w:sym w:font="Times New Roman" w:char="F07F"/>
            </w:r>
            <w:r w:rsidRPr="00096768">
              <w:rPr>
                <w:b/>
                <w:bCs/>
                <w:szCs w:val="24"/>
                <w:lang w:eastAsia="lt-LT"/>
              </w:rPr>
              <w:t xml:space="preserve"> Keitimas</w:t>
            </w:r>
          </w:p>
        </w:tc>
      </w:tr>
      <w:tr w:rsidR="00096768" w:rsidRPr="00096768" w14:paraId="09B6C086" w14:textId="77777777" w:rsidTr="00C2107D">
        <w:tc>
          <w:tcPr>
            <w:tcW w:w="6345" w:type="dxa"/>
            <w:shd w:val="clear" w:color="auto" w:fill="auto"/>
            <w:vAlign w:val="center"/>
          </w:tcPr>
          <w:p w14:paraId="2E64B9F0" w14:textId="77777777" w:rsidR="001D49EB" w:rsidRPr="00096768" w:rsidRDefault="001D49EB" w:rsidP="00C2107D">
            <w:pPr>
              <w:widowControl w:val="0"/>
              <w:textAlignment w:val="baseline"/>
              <w:rPr>
                <w:b/>
                <w:bCs/>
                <w:szCs w:val="24"/>
                <w:lang w:eastAsia="lt-LT"/>
              </w:rPr>
            </w:pPr>
            <w:r w:rsidRPr="00096768">
              <w:rPr>
                <w:b/>
                <w:bCs/>
                <w:szCs w:val="24"/>
                <w:lang w:eastAsia="lt-LT"/>
              </w:rPr>
              <w:t>Projektų atrankos kriterijaus numeris ir pavadinimas</w:t>
            </w:r>
          </w:p>
        </w:tc>
        <w:tc>
          <w:tcPr>
            <w:tcW w:w="9008" w:type="dxa"/>
            <w:shd w:val="clear" w:color="auto" w:fill="auto"/>
          </w:tcPr>
          <w:p w14:paraId="693DFA43" w14:textId="1EEDFD1A" w:rsidR="001D49EB" w:rsidRPr="00096768" w:rsidRDefault="003D2A4F" w:rsidP="00C2107D">
            <w:pPr>
              <w:widowControl w:val="0"/>
              <w:jc w:val="both"/>
              <w:textAlignment w:val="baseline"/>
              <w:rPr>
                <w:szCs w:val="24"/>
                <w:lang w:eastAsia="lt-LT"/>
              </w:rPr>
            </w:pPr>
            <w:r w:rsidRPr="00096768">
              <w:rPr>
                <w:szCs w:val="24"/>
                <w:lang w:eastAsia="lt-LT"/>
              </w:rPr>
              <w:t>2</w:t>
            </w:r>
            <w:r w:rsidR="001D49EB" w:rsidRPr="00096768">
              <w:rPr>
                <w:szCs w:val="24"/>
                <w:lang w:eastAsia="lt-LT"/>
              </w:rPr>
              <w:t xml:space="preserve">. </w:t>
            </w:r>
            <w:r w:rsidRPr="00096768">
              <w:rPr>
                <w:szCs w:val="24"/>
                <w:lang w:eastAsia="lt-LT"/>
              </w:rPr>
              <w:t xml:space="preserve">pareiškėjas kartu su paramos paraiška turi pateikti akvakultūros ūkio </w:t>
            </w:r>
            <w:proofErr w:type="spellStart"/>
            <w:r w:rsidRPr="00096768">
              <w:rPr>
                <w:szCs w:val="24"/>
                <w:lang w:eastAsia="lt-LT"/>
              </w:rPr>
              <w:t>gamtotvarkos</w:t>
            </w:r>
            <w:proofErr w:type="spellEnd"/>
            <w:r w:rsidRPr="00096768">
              <w:rPr>
                <w:szCs w:val="24"/>
                <w:lang w:eastAsia="lt-LT"/>
              </w:rPr>
              <w:t xml:space="preserve"> planą (toliau – </w:t>
            </w:r>
            <w:proofErr w:type="spellStart"/>
            <w:r w:rsidRPr="00096768">
              <w:rPr>
                <w:szCs w:val="24"/>
                <w:lang w:eastAsia="lt-LT"/>
              </w:rPr>
              <w:t>gamtotvarkos</w:t>
            </w:r>
            <w:proofErr w:type="spellEnd"/>
            <w:r w:rsidRPr="00096768">
              <w:rPr>
                <w:szCs w:val="24"/>
                <w:lang w:eastAsia="lt-LT"/>
              </w:rPr>
              <w:t xml:space="preserve"> planas)</w:t>
            </w:r>
            <w:r w:rsidR="00476F8B" w:rsidRPr="00096768">
              <w:rPr>
                <w:szCs w:val="24"/>
                <w:lang w:eastAsia="lt-LT"/>
              </w:rPr>
              <w:t xml:space="preserve"> patvirtintą atsakingų institucijų</w:t>
            </w:r>
            <w:r w:rsidRPr="00096768">
              <w:rPr>
                <w:szCs w:val="24"/>
                <w:lang w:eastAsia="lt-LT"/>
              </w:rPr>
              <w:t xml:space="preserve">, parengtą </w:t>
            </w:r>
            <w:r w:rsidR="00476F8B" w:rsidRPr="00096768">
              <w:rPr>
                <w:szCs w:val="24"/>
                <w:lang w:eastAsia="lt-LT"/>
              </w:rPr>
              <w:t>ne trumpesniam laikotarpiui nei PSK nurodytas laikotarpis, už kurį prašoma paramos</w:t>
            </w:r>
            <w:r w:rsidRPr="00096768">
              <w:rPr>
                <w:szCs w:val="24"/>
                <w:lang w:eastAsia="lt-LT"/>
              </w:rPr>
              <w:t xml:space="preserve">. </w:t>
            </w:r>
          </w:p>
        </w:tc>
      </w:tr>
      <w:tr w:rsidR="00096768" w:rsidRPr="00096768" w14:paraId="39C5C80E" w14:textId="77777777" w:rsidTr="00C2107D">
        <w:tc>
          <w:tcPr>
            <w:tcW w:w="6345" w:type="dxa"/>
            <w:shd w:val="clear" w:color="auto" w:fill="auto"/>
            <w:vAlign w:val="center"/>
          </w:tcPr>
          <w:p w14:paraId="43048289" w14:textId="77777777" w:rsidR="001D49EB" w:rsidRPr="00096768" w:rsidRDefault="001D49EB" w:rsidP="00C2107D">
            <w:pPr>
              <w:widowControl w:val="0"/>
              <w:textAlignment w:val="baseline"/>
              <w:rPr>
                <w:b/>
                <w:bCs/>
                <w:szCs w:val="24"/>
                <w:lang w:eastAsia="lt-LT"/>
              </w:rPr>
            </w:pPr>
            <w:r w:rsidRPr="00096768">
              <w:rPr>
                <w:b/>
                <w:bCs/>
                <w:szCs w:val="24"/>
                <w:lang w:eastAsia="lt-LT"/>
              </w:rPr>
              <w:t>Projektų atrankos kriterijaus vertinimo metodas ir taikymas</w:t>
            </w:r>
          </w:p>
        </w:tc>
        <w:tc>
          <w:tcPr>
            <w:tcW w:w="9008" w:type="dxa"/>
            <w:shd w:val="clear" w:color="auto" w:fill="auto"/>
          </w:tcPr>
          <w:p w14:paraId="11B076AF" w14:textId="55DAE3F7" w:rsidR="001D49EB" w:rsidRPr="00096768" w:rsidRDefault="003D2A4F" w:rsidP="00C2107D">
            <w:pPr>
              <w:widowControl w:val="0"/>
              <w:jc w:val="both"/>
              <w:textAlignment w:val="baseline"/>
              <w:rPr>
                <w:szCs w:val="24"/>
                <w:lang w:eastAsia="lt-LT"/>
              </w:rPr>
            </w:pPr>
            <w:r w:rsidRPr="00096768">
              <w:rPr>
                <w:szCs w:val="24"/>
                <w:lang w:eastAsia="lt-LT"/>
              </w:rPr>
              <w:t xml:space="preserve">Reikalavimai </w:t>
            </w:r>
            <w:proofErr w:type="spellStart"/>
            <w:r w:rsidRPr="00096768">
              <w:rPr>
                <w:szCs w:val="24"/>
                <w:lang w:eastAsia="lt-LT"/>
              </w:rPr>
              <w:t>gamtotvarkos</w:t>
            </w:r>
            <w:proofErr w:type="spellEnd"/>
            <w:r w:rsidRPr="00096768">
              <w:rPr>
                <w:szCs w:val="24"/>
                <w:lang w:eastAsia="lt-LT"/>
              </w:rPr>
              <w:t xml:space="preserve"> planui ir atsakingos institucijos nurodomos priemonės projektų finansavimo sąlygų apraše. </w:t>
            </w:r>
            <w:proofErr w:type="spellStart"/>
            <w:r w:rsidR="005E1933" w:rsidRPr="00096768">
              <w:rPr>
                <w:szCs w:val="24"/>
                <w:lang w:eastAsia="lt-LT"/>
              </w:rPr>
              <w:t>Gamtotvarkos</w:t>
            </w:r>
            <w:proofErr w:type="spellEnd"/>
            <w:r w:rsidR="005E1933" w:rsidRPr="00096768">
              <w:rPr>
                <w:szCs w:val="24"/>
                <w:lang w:eastAsia="lt-LT"/>
              </w:rPr>
              <w:t xml:space="preserve"> plano laikotarpis gali būti apimti laikotarpius einančius iki arba po laikotarpi</w:t>
            </w:r>
            <w:r w:rsidR="008F7F65" w:rsidRPr="00096768">
              <w:rPr>
                <w:szCs w:val="24"/>
                <w:lang w:eastAsia="lt-LT"/>
              </w:rPr>
              <w:t xml:space="preserve">o </w:t>
            </w:r>
            <w:r w:rsidR="005E1933" w:rsidRPr="00096768">
              <w:rPr>
                <w:szCs w:val="24"/>
                <w:lang w:eastAsia="lt-LT"/>
              </w:rPr>
              <w:t xml:space="preserve">už </w:t>
            </w:r>
            <w:r w:rsidR="00476F8B" w:rsidRPr="00096768">
              <w:rPr>
                <w:szCs w:val="24"/>
                <w:lang w:eastAsia="lt-LT"/>
              </w:rPr>
              <w:t>kurį prašoma paramos</w:t>
            </w:r>
            <w:r w:rsidR="005E1933" w:rsidRPr="00096768">
              <w:rPr>
                <w:szCs w:val="24"/>
                <w:lang w:eastAsia="lt-LT"/>
              </w:rPr>
              <w:t xml:space="preserve">. </w:t>
            </w:r>
          </w:p>
        </w:tc>
      </w:tr>
      <w:tr w:rsidR="00476F8B" w:rsidRPr="00096768" w14:paraId="7176D2D1" w14:textId="77777777" w:rsidTr="00C2107D">
        <w:tc>
          <w:tcPr>
            <w:tcW w:w="6345" w:type="dxa"/>
            <w:shd w:val="clear" w:color="auto" w:fill="auto"/>
            <w:vAlign w:val="center"/>
          </w:tcPr>
          <w:p w14:paraId="73988891" w14:textId="77777777" w:rsidR="001D49EB" w:rsidRPr="00096768" w:rsidRDefault="001D49EB" w:rsidP="00C2107D">
            <w:pPr>
              <w:widowControl w:val="0"/>
              <w:textAlignment w:val="baseline"/>
              <w:rPr>
                <w:b/>
                <w:bCs/>
                <w:szCs w:val="24"/>
                <w:lang w:eastAsia="lt-LT"/>
              </w:rPr>
            </w:pPr>
            <w:r w:rsidRPr="00096768">
              <w:rPr>
                <w:b/>
                <w:bCs/>
                <w:szCs w:val="24"/>
                <w:lang w:eastAsia="lt-LT"/>
              </w:rPr>
              <w:t>Projektų atrankos kriterijaus pasirinkimo pagrindimas</w:t>
            </w:r>
          </w:p>
        </w:tc>
        <w:tc>
          <w:tcPr>
            <w:tcW w:w="9008" w:type="dxa"/>
            <w:shd w:val="clear" w:color="auto" w:fill="auto"/>
          </w:tcPr>
          <w:p w14:paraId="3DBC0774" w14:textId="47D36063" w:rsidR="001D49EB" w:rsidRPr="00096768" w:rsidRDefault="005E1933" w:rsidP="00C2107D">
            <w:pPr>
              <w:overflowPunct w:val="0"/>
              <w:jc w:val="both"/>
              <w:textAlignment w:val="baseline"/>
              <w:rPr>
                <w:szCs w:val="24"/>
                <w:lang w:eastAsia="lt-LT"/>
              </w:rPr>
            </w:pPr>
            <w:proofErr w:type="spellStart"/>
            <w:r w:rsidRPr="00096768">
              <w:rPr>
                <w:szCs w:val="24"/>
                <w:lang w:eastAsia="lt-LT"/>
              </w:rPr>
              <w:t>Gamtotvarkos</w:t>
            </w:r>
            <w:proofErr w:type="spellEnd"/>
            <w:r w:rsidRPr="00096768">
              <w:rPr>
                <w:szCs w:val="24"/>
                <w:lang w:eastAsia="lt-LT"/>
              </w:rPr>
              <w:t xml:space="preserve">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ir metodus, kuriems taikomi specialūs tvarkymo reikalavimai dėl </w:t>
            </w:r>
            <w:proofErr w:type="spellStart"/>
            <w:r w:rsidRPr="00096768">
              <w:rPr>
                <w:szCs w:val="24"/>
                <w:lang w:eastAsia="lt-LT"/>
              </w:rPr>
              <w:t>Natura</w:t>
            </w:r>
            <w:proofErr w:type="spellEnd"/>
            <w:r w:rsidRPr="00096768">
              <w:rPr>
                <w:szCs w:val="24"/>
                <w:lang w:eastAsia="lt-LT"/>
              </w:rPr>
              <w:t xml:space="preserve"> 2000 teritorijų nustatymo. Vykdomi veiksmai griežtesni nei reikalavimai, privalomi taikant tik Europos Sąjungos ir nacionalinės teisės aktus, o jų poreikis ir pagrįstumas turi būti patvirtintas kompetentingų institucijų, todėl ir </w:t>
            </w:r>
            <w:r w:rsidR="00FC5932" w:rsidRPr="00096768">
              <w:rPr>
                <w:szCs w:val="24"/>
                <w:lang w:eastAsia="lt-LT"/>
              </w:rPr>
              <w:t xml:space="preserve">turi būti </w:t>
            </w:r>
            <w:r w:rsidRPr="00096768">
              <w:rPr>
                <w:szCs w:val="24"/>
                <w:lang w:eastAsia="lt-LT"/>
              </w:rPr>
              <w:t xml:space="preserve">nustatyta tvarka rengiami bei tvirtinami </w:t>
            </w:r>
            <w:proofErr w:type="spellStart"/>
            <w:r w:rsidRPr="00096768">
              <w:rPr>
                <w:szCs w:val="24"/>
                <w:lang w:eastAsia="lt-LT"/>
              </w:rPr>
              <w:t>gamtotvarkos</w:t>
            </w:r>
            <w:proofErr w:type="spellEnd"/>
            <w:r w:rsidRPr="00096768">
              <w:rPr>
                <w:szCs w:val="24"/>
                <w:lang w:eastAsia="lt-LT"/>
              </w:rPr>
              <w:t xml:space="preserve"> planai.</w:t>
            </w:r>
            <w:r w:rsidR="00FC5932" w:rsidRPr="00096768">
              <w:rPr>
                <w:szCs w:val="24"/>
                <w:lang w:eastAsia="lt-LT"/>
              </w:rPr>
              <w:t xml:space="preserve"> Kad įgyvendinamos priemonės būtų efektyvios, jas reikia įgyvendinti tam tikrą laiko tarpą, bent 5 metus. </w:t>
            </w:r>
          </w:p>
        </w:tc>
      </w:tr>
    </w:tbl>
    <w:p w14:paraId="243EF45F" w14:textId="7682886B" w:rsidR="001D49EB" w:rsidRPr="00096768" w:rsidRDefault="001D49EB">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8866"/>
      </w:tblGrid>
      <w:tr w:rsidR="00096768" w:rsidRPr="00096768" w14:paraId="65A0C73E" w14:textId="77777777" w:rsidTr="00C2107D">
        <w:tc>
          <w:tcPr>
            <w:tcW w:w="6345" w:type="dxa"/>
            <w:shd w:val="clear" w:color="auto" w:fill="auto"/>
          </w:tcPr>
          <w:p w14:paraId="26EDB69E" w14:textId="77777777" w:rsidR="001D49EB" w:rsidRPr="00096768" w:rsidRDefault="001D49EB" w:rsidP="00C2107D">
            <w:pPr>
              <w:widowControl w:val="0"/>
              <w:jc w:val="both"/>
              <w:textAlignment w:val="baseline"/>
              <w:rPr>
                <w:b/>
                <w:bCs/>
                <w:szCs w:val="24"/>
                <w:lang w:eastAsia="lt-LT"/>
              </w:rPr>
            </w:pPr>
            <w:r w:rsidRPr="00096768">
              <w:rPr>
                <w:szCs w:val="24"/>
              </w:rPr>
              <w:br w:type="page"/>
            </w:r>
            <w:r w:rsidRPr="00096768">
              <w:rPr>
                <w:b/>
                <w:bCs/>
                <w:szCs w:val="24"/>
                <w:lang w:eastAsia="lt-LT"/>
              </w:rPr>
              <w:t>x SPECIALUSIS PROJEKTŲ ATRANKOS KRITERIJUS</w:t>
            </w:r>
          </w:p>
          <w:p w14:paraId="08838ACB" w14:textId="77777777" w:rsidR="001D49EB" w:rsidRPr="00096768" w:rsidRDefault="001D49EB" w:rsidP="00C2107D">
            <w:pPr>
              <w:widowControl w:val="0"/>
              <w:jc w:val="both"/>
              <w:textAlignment w:val="baseline"/>
              <w:rPr>
                <w:b/>
                <w:bCs/>
                <w:szCs w:val="24"/>
                <w:lang w:eastAsia="lt-LT"/>
              </w:rPr>
            </w:pPr>
            <w:r w:rsidRPr="00096768">
              <w:rPr>
                <w:b/>
                <w:bCs/>
                <w:szCs w:val="24"/>
                <w:lang w:eastAsia="lt-LT"/>
              </w:rPr>
              <w:t> PRIORITETINIS PROJEKTŲ ATRANKOS KRITERIJUS</w:t>
            </w:r>
          </w:p>
          <w:p w14:paraId="3970347C" w14:textId="77777777" w:rsidR="001D49EB" w:rsidRPr="00096768" w:rsidRDefault="001D49EB" w:rsidP="00C2107D">
            <w:pPr>
              <w:widowControl w:val="0"/>
              <w:jc w:val="both"/>
              <w:textAlignment w:val="baseline"/>
              <w:rPr>
                <w:b/>
                <w:bCs/>
                <w:szCs w:val="24"/>
                <w:lang w:eastAsia="lt-LT"/>
              </w:rPr>
            </w:pPr>
            <w:r w:rsidRPr="00096768">
              <w:rPr>
                <w:i/>
                <w:szCs w:val="24"/>
              </w:rPr>
              <w:t>(Pažymimas vienas iš galimų projektų atrankos kriterijų tipų.)</w:t>
            </w:r>
          </w:p>
        </w:tc>
        <w:tc>
          <w:tcPr>
            <w:tcW w:w="9008" w:type="dxa"/>
            <w:shd w:val="clear" w:color="auto" w:fill="auto"/>
          </w:tcPr>
          <w:p w14:paraId="209A4F5E" w14:textId="77777777" w:rsidR="001D49EB" w:rsidRPr="00096768" w:rsidRDefault="001D49EB" w:rsidP="00C2107D">
            <w:pPr>
              <w:widowControl w:val="0"/>
              <w:jc w:val="both"/>
              <w:textAlignment w:val="baseline"/>
              <w:rPr>
                <w:b/>
                <w:bCs/>
                <w:szCs w:val="24"/>
                <w:lang w:eastAsia="lt-LT"/>
              </w:rPr>
            </w:pPr>
            <w:r w:rsidRPr="00096768">
              <w:rPr>
                <w:b/>
                <w:bCs/>
                <w:szCs w:val="24"/>
                <w:lang w:eastAsia="lt-LT"/>
              </w:rPr>
              <w:t>x Nustatymas</w:t>
            </w:r>
          </w:p>
          <w:p w14:paraId="5AE38637" w14:textId="77777777" w:rsidR="001D49EB" w:rsidRPr="00096768" w:rsidRDefault="001D49EB" w:rsidP="00C2107D">
            <w:pPr>
              <w:widowControl w:val="0"/>
              <w:jc w:val="both"/>
              <w:textAlignment w:val="baseline"/>
              <w:rPr>
                <w:szCs w:val="24"/>
              </w:rPr>
            </w:pPr>
            <w:r w:rsidRPr="00096768">
              <w:rPr>
                <w:b/>
                <w:bCs/>
                <w:szCs w:val="24"/>
                <w:lang w:eastAsia="lt-LT"/>
              </w:rPr>
              <w:sym w:font="Times New Roman" w:char="F07F"/>
            </w:r>
            <w:r w:rsidRPr="00096768">
              <w:rPr>
                <w:b/>
                <w:bCs/>
                <w:szCs w:val="24"/>
                <w:lang w:eastAsia="lt-LT"/>
              </w:rPr>
              <w:t xml:space="preserve"> Keitimas</w:t>
            </w:r>
          </w:p>
        </w:tc>
      </w:tr>
      <w:tr w:rsidR="00096768" w:rsidRPr="00096768" w14:paraId="0F9D1C8F" w14:textId="77777777" w:rsidTr="00C2107D">
        <w:tc>
          <w:tcPr>
            <w:tcW w:w="6345" w:type="dxa"/>
            <w:shd w:val="clear" w:color="auto" w:fill="auto"/>
            <w:vAlign w:val="center"/>
          </w:tcPr>
          <w:p w14:paraId="64087880" w14:textId="77777777" w:rsidR="001D49EB" w:rsidRPr="00096768" w:rsidRDefault="001D49EB" w:rsidP="00C2107D">
            <w:pPr>
              <w:widowControl w:val="0"/>
              <w:textAlignment w:val="baseline"/>
              <w:rPr>
                <w:b/>
                <w:bCs/>
                <w:szCs w:val="24"/>
                <w:lang w:eastAsia="lt-LT"/>
              </w:rPr>
            </w:pPr>
            <w:r w:rsidRPr="00096768">
              <w:rPr>
                <w:b/>
                <w:bCs/>
                <w:szCs w:val="24"/>
                <w:lang w:eastAsia="lt-LT"/>
              </w:rPr>
              <w:t>Projektų atrankos kriterijaus numeris ir pavadinimas</w:t>
            </w:r>
          </w:p>
        </w:tc>
        <w:tc>
          <w:tcPr>
            <w:tcW w:w="9008" w:type="dxa"/>
            <w:shd w:val="clear" w:color="auto" w:fill="auto"/>
          </w:tcPr>
          <w:p w14:paraId="3403C4AE" w14:textId="1BE93703" w:rsidR="001D49EB" w:rsidRPr="00096768" w:rsidRDefault="008F7F65" w:rsidP="00C2107D">
            <w:pPr>
              <w:widowControl w:val="0"/>
              <w:jc w:val="both"/>
              <w:textAlignment w:val="baseline"/>
              <w:rPr>
                <w:szCs w:val="24"/>
                <w:lang w:eastAsia="lt-LT"/>
              </w:rPr>
            </w:pPr>
            <w:r w:rsidRPr="00096768">
              <w:rPr>
                <w:szCs w:val="24"/>
                <w:lang w:eastAsia="lt-LT"/>
              </w:rPr>
              <w:t>3</w:t>
            </w:r>
            <w:r w:rsidR="001D49EB" w:rsidRPr="00096768">
              <w:rPr>
                <w:szCs w:val="24"/>
                <w:lang w:eastAsia="lt-LT"/>
              </w:rPr>
              <w:t xml:space="preserve">. </w:t>
            </w:r>
            <w:r w:rsidRPr="00096768">
              <w:rPr>
                <w:szCs w:val="24"/>
                <w:lang w:eastAsia="lt-LT"/>
              </w:rPr>
              <w:t xml:space="preserve">Pareiškėjas įsipareigoja, jei bus priimtas sprendimas skirti paramą pagal Priemonę, ne trumpiau kaip penkerius metus vykdyti vandens aplinkosaugos reikalavimus, kurie yra griežtesni nei reikalavimai, privalomi taikant tik Europos Sąjungos ir nacionalinės teisės aktus, t. y. </w:t>
            </w:r>
            <w:proofErr w:type="spellStart"/>
            <w:r w:rsidRPr="00096768">
              <w:rPr>
                <w:szCs w:val="24"/>
                <w:lang w:eastAsia="lt-LT"/>
              </w:rPr>
              <w:t>gamtotvarkos</w:t>
            </w:r>
            <w:proofErr w:type="spellEnd"/>
            <w:r w:rsidRPr="00096768">
              <w:rPr>
                <w:szCs w:val="24"/>
                <w:lang w:eastAsia="lt-LT"/>
              </w:rPr>
              <w:t xml:space="preserve"> planą;</w:t>
            </w:r>
          </w:p>
        </w:tc>
      </w:tr>
      <w:tr w:rsidR="00096768" w:rsidRPr="00096768" w14:paraId="0BECA91F" w14:textId="77777777" w:rsidTr="00C2107D">
        <w:tc>
          <w:tcPr>
            <w:tcW w:w="6345" w:type="dxa"/>
            <w:shd w:val="clear" w:color="auto" w:fill="auto"/>
            <w:vAlign w:val="center"/>
          </w:tcPr>
          <w:p w14:paraId="195D4928" w14:textId="77777777" w:rsidR="001D49EB" w:rsidRPr="00096768" w:rsidRDefault="001D49EB" w:rsidP="00C2107D">
            <w:pPr>
              <w:widowControl w:val="0"/>
              <w:textAlignment w:val="baseline"/>
              <w:rPr>
                <w:b/>
                <w:bCs/>
                <w:szCs w:val="24"/>
                <w:lang w:eastAsia="lt-LT"/>
              </w:rPr>
            </w:pPr>
            <w:r w:rsidRPr="00096768">
              <w:rPr>
                <w:b/>
                <w:bCs/>
                <w:szCs w:val="24"/>
                <w:lang w:eastAsia="lt-LT"/>
              </w:rPr>
              <w:t>Projektų atrankos kriterijaus vertinimo metodas ir taikymas</w:t>
            </w:r>
          </w:p>
        </w:tc>
        <w:tc>
          <w:tcPr>
            <w:tcW w:w="9008" w:type="dxa"/>
            <w:shd w:val="clear" w:color="auto" w:fill="auto"/>
          </w:tcPr>
          <w:p w14:paraId="2ACC47A5" w14:textId="7EA9EBB7" w:rsidR="001D49EB" w:rsidRPr="00096768" w:rsidRDefault="008F7F65" w:rsidP="00C2107D">
            <w:pPr>
              <w:widowControl w:val="0"/>
              <w:jc w:val="both"/>
              <w:textAlignment w:val="baseline"/>
              <w:rPr>
                <w:szCs w:val="24"/>
                <w:lang w:eastAsia="lt-LT"/>
              </w:rPr>
            </w:pPr>
            <w:r w:rsidRPr="00096768">
              <w:rPr>
                <w:szCs w:val="24"/>
                <w:lang w:eastAsia="lt-LT"/>
              </w:rPr>
              <w:t xml:space="preserve">Jei iki PSK nurodyto laikotarpio, už kurį prašoma kompensacijos, </w:t>
            </w:r>
            <w:r w:rsidR="001D49EB" w:rsidRPr="00096768">
              <w:rPr>
                <w:szCs w:val="24"/>
                <w:lang w:eastAsia="lt-LT"/>
              </w:rPr>
              <w:t xml:space="preserve">pareiškėjas </w:t>
            </w:r>
            <w:r w:rsidRPr="00096768">
              <w:rPr>
                <w:szCs w:val="24"/>
                <w:lang w:eastAsia="lt-LT"/>
              </w:rPr>
              <w:t xml:space="preserve">nepertraukiamai </w:t>
            </w:r>
            <w:r w:rsidR="001D49EB" w:rsidRPr="00096768">
              <w:rPr>
                <w:szCs w:val="24"/>
                <w:lang w:eastAsia="lt-LT"/>
              </w:rPr>
              <w:t>vykd</w:t>
            </w:r>
            <w:r w:rsidRPr="00096768">
              <w:rPr>
                <w:szCs w:val="24"/>
                <w:lang w:eastAsia="lt-LT"/>
              </w:rPr>
              <w:t xml:space="preserve">ė </w:t>
            </w:r>
            <w:r w:rsidR="001D49EB" w:rsidRPr="00096768">
              <w:rPr>
                <w:szCs w:val="24"/>
                <w:lang w:eastAsia="lt-LT"/>
              </w:rPr>
              <w:t xml:space="preserve">vandens aplinkosaugos reikalavimus, kurie yra griežtesni nei reikalavimai, privalomi taikant tik Europos Sąjungos ir nacionalinės teisės aktus, t. y. </w:t>
            </w:r>
            <w:proofErr w:type="spellStart"/>
            <w:r w:rsidR="001D49EB" w:rsidRPr="00096768">
              <w:rPr>
                <w:szCs w:val="24"/>
                <w:lang w:eastAsia="lt-LT"/>
              </w:rPr>
              <w:t>gamtotvarkos</w:t>
            </w:r>
            <w:proofErr w:type="spellEnd"/>
            <w:r w:rsidR="001D49EB" w:rsidRPr="00096768">
              <w:rPr>
                <w:szCs w:val="24"/>
                <w:lang w:eastAsia="lt-LT"/>
              </w:rPr>
              <w:t xml:space="preserve"> planą</w:t>
            </w:r>
            <w:r w:rsidRPr="00096768">
              <w:rPr>
                <w:szCs w:val="24"/>
                <w:lang w:eastAsia="lt-LT"/>
              </w:rPr>
              <w:t xml:space="preserve"> pagal </w:t>
            </w:r>
            <w:r w:rsidR="0046014B" w:rsidRPr="00096768">
              <w:rPr>
                <w:szCs w:val="24"/>
                <w:lang w:eastAsia="lt-LT"/>
              </w:rPr>
              <w:t>P</w:t>
            </w:r>
            <w:r w:rsidRPr="00096768">
              <w:rPr>
                <w:szCs w:val="24"/>
                <w:lang w:eastAsia="lt-LT"/>
              </w:rPr>
              <w:t>riemonę arba Lietuvis žuvininkystės sektoriaus 2014</w:t>
            </w:r>
            <w:r w:rsidR="00691C3E" w:rsidRPr="00096768">
              <w:rPr>
                <w:szCs w:val="24"/>
                <w:lang w:eastAsia="lt-LT"/>
              </w:rPr>
              <w:t>–</w:t>
            </w:r>
            <w:r w:rsidRPr="00096768">
              <w:rPr>
                <w:szCs w:val="24"/>
                <w:lang w:eastAsia="lt-LT"/>
              </w:rPr>
              <w:t xml:space="preserve">2020 m. veiksmų programos priemonę „Aplinkosaugos funkcijas atliekanti akvakultūra“, </w:t>
            </w:r>
            <w:r w:rsidRPr="00096768">
              <w:rPr>
                <w:szCs w:val="24"/>
                <w:lang w:eastAsia="lt-LT"/>
              </w:rPr>
              <w:lastRenderedPageBreak/>
              <w:t xml:space="preserve">ankstesnio nepertraukiamai įgyvendinto </w:t>
            </w:r>
            <w:proofErr w:type="spellStart"/>
            <w:r w:rsidRPr="00096768">
              <w:rPr>
                <w:szCs w:val="24"/>
                <w:lang w:eastAsia="lt-LT"/>
              </w:rPr>
              <w:t>gamtotvarkos</w:t>
            </w:r>
            <w:proofErr w:type="spellEnd"/>
            <w:r w:rsidRPr="00096768">
              <w:rPr>
                <w:szCs w:val="24"/>
                <w:lang w:eastAsia="lt-LT"/>
              </w:rPr>
              <w:t xml:space="preserve"> plano laikotarpis gali būti įskaičiuojamas į bendra reikalaujamą 5 metų įsipareigojimo laikotarpį. Pavyzdžiui pareiškėjas </w:t>
            </w:r>
            <w:r w:rsidR="00476F8B" w:rsidRPr="00096768">
              <w:rPr>
                <w:szCs w:val="24"/>
                <w:lang w:eastAsia="lt-LT"/>
              </w:rPr>
              <w:t>2023</w:t>
            </w:r>
            <w:r w:rsidR="00691C3E" w:rsidRPr="00096768">
              <w:rPr>
                <w:szCs w:val="24"/>
                <w:lang w:eastAsia="lt-LT"/>
              </w:rPr>
              <w:t>–</w:t>
            </w:r>
            <w:r w:rsidR="00476F8B" w:rsidRPr="00096768">
              <w:rPr>
                <w:szCs w:val="24"/>
                <w:lang w:eastAsia="lt-LT"/>
              </w:rPr>
              <w:t xml:space="preserve">2025 m. nepertraukiamai įgyvendino patvirtintą </w:t>
            </w:r>
            <w:proofErr w:type="spellStart"/>
            <w:r w:rsidR="00476F8B" w:rsidRPr="00096768">
              <w:rPr>
                <w:szCs w:val="24"/>
                <w:lang w:eastAsia="lt-LT"/>
              </w:rPr>
              <w:t>gamtotvarkos</w:t>
            </w:r>
            <w:proofErr w:type="spellEnd"/>
            <w:r w:rsidR="00476F8B" w:rsidRPr="00096768">
              <w:rPr>
                <w:szCs w:val="24"/>
                <w:lang w:eastAsia="lt-LT"/>
              </w:rPr>
              <w:t xml:space="preserve"> planą pagal </w:t>
            </w:r>
            <w:r w:rsidR="0046014B" w:rsidRPr="00096768">
              <w:rPr>
                <w:szCs w:val="24"/>
                <w:lang w:eastAsia="lt-LT"/>
              </w:rPr>
              <w:t>P</w:t>
            </w:r>
            <w:r w:rsidR="00476F8B" w:rsidRPr="00096768">
              <w:rPr>
                <w:szCs w:val="24"/>
                <w:lang w:eastAsia="lt-LT"/>
              </w:rPr>
              <w:t>riemonę ir 2026 m. teikia PSK 2026 m.-2027 m. laikotarpiui, jam užtenka įsipareigoti 2026</w:t>
            </w:r>
            <w:r w:rsidR="00691C3E" w:rsidRPr="00096768">
              <w:rPr>
                <w:szCs w:val="24"/>
                <w:lang w:eastAsia="lt-LT"/>
              </w:rPr>
              <w:t>–</w:t>
            </w:r>
            <w:r w:rsidR="00476F8B" w:rsidRPr="00096768">
              <w:rPr>
                <w:szCs w:val="24"/>
                <w:lang w:eastAsia="lt-LT"/>
              </w:rPr>
              <w:t xml:space="preserve">2027 m. įgyvendinti patvirtintą </w:t>
            </w:r>
            <w:proofErr w:type="spellStart"/>
            <w:r w:rsidR="00476F8B" w:rsidRPr="00096768">
              <w:rPr>
                <w:szCs w:val="24"/>
                <w:lang w:eastAsia="lt-LT"/>
              </w:rPr>
              <w:t>gamtotvarkos</w:t>
            </w:r>
            <w:proofErr w:type="spellEnd"/>
            <w:r w:rsidR="00476F8B" w:rsidRPr="00096768">
              <w:rPr>
                <w:szCs w:val="24"/>
                <w:lang w:eastAsia="lt-LT"/>
              </w:rPr>
              <w:t xml:space="preserve"> planą. Jei iki laikotarpio už kurį PSK prašoma paramos, pareiškėjas jau laikėsi įsipareigojimo </w:t>
            </w:r>
            <w:r w:rsidR="00037B5F" w:rsidRPr="00096768">
              <w:rPr>
                <w:szCs w:val="24"/>
                <w:lang w:eastAsia="lt-LT"/>
              </w:rPr>
              <w:t xml:space="preserve">nepertraukiamai </w:t>
            </w:r>
            <w:r w:rsidR="00476F8B" w:rsidRPr="00096768">
              <w:rPr>
                <w:szCs w:val="24"/>
                <w:lang w:eastAsia="lt-LT"/>
              </w:rPr>
              <w:t xml:space="preserve">5 ir daugiau metų, tai </w:t>
            </w:r>
            <w:r w:rsidR="00037B5F" w:rsidRPr="00096768">
              <w:rPr>
                <w:szCs w:val="24"/>
                <w:lang w:eastAsia="lt-LT"/>
              </w:rPr>
              <w:t xml:space="preserve">jis turi įsipareigoti bent 1 kalendoriniams metams. </w:t>
            </w:r>
          </w:p>
          <w:p w14:paraId="01F76BBB" w14:textId="436BC753" w:rsidR="001D49EB" w:rsidRPr="00096768" w:rsidRDefault="001D49EB" w:rsidP="00C2107D">
            <w:pPr>
              <w:widowControl w:val="0"/>
              <w:jc w:val="both"/>
              <w:textAlignment w:val="baseline"/>
              <w:rPr>
                <w:bCs/>
                <w:iCs/>
                <w:szCs w:val="24"/>
                <w:lang w:eastAsia="lt-LT"/>
              </w:rPr>
            </w:pPr>
          </w:p>
        </w:tc>
      </w:tr>
      <w:tr w:rsidR="008F7F65" w:rsidRPr="00096768" w14:paraId="56553730" w14:textId="77777777" w:rsidTr="00C2107D">
        <w:tc>
          <w:tcPr>
            <w:tcW w:w="6345" w:type="dxa"/>
            <w:shd w:val="clear" w:color="auto" w:fill="auto"/>
            <w:vAlign w:val="center"/>
          </w:tcPr>
          <w:p w14:paraId="1120C8FB" w14:textId="77777777" w:rsidR="001D49EB" w:rsidRPr="00096768" w:rsidRDefault="001D49EB" w:rsidP="00C2107D">
            <w:pPr>
              <w:widowControl w:val="0"/>
              <w:textAlignment w:val="baseline"/>
              <w:rPr>
                <w:b/>
                <w:bCs/>
                <w:szCs w:val="24"/>
                <w:lang w:eastAsia="lt-LT"/>
              </w:rPr>
            </w:pPr>
            <w:r w:rsidRPr="00096768">
              <w:rPr>
                <w:b/>
                <w:bCs/>
                <w:szCs w:val="24"/>
                <w:lang w:eastAsia="lt-LT"/>
              </w:rPr>
              <w:lastRenderedPageBreak/>
              <w:t>Projektų atrankos kriterijaus pasirinkimo pagrindimas</w:t>
            </w:r>
          </w:p>
        </w:tc>
        <w:tc>
          <w:tcPr>
            <w:tcW w:w="9008" w:type="dxa"/>
            <w:shd w:val="clear" w:color="auto" w:fill="auto"/>
          </w:tcPr>
          <w:p w14:paraId="31CB10EE" w14:textId="480129F9" w:rsidR="001D49EB" w:rsidRPr="00096768" w:rsidRDefault="00476F8B" w:rsidP="00C2107D">
            <w:pPr>
              <w:overflowPunct w:val="0"/>
              <w:jc w:val="both"/>
              <w:textAlignment w:val="baseline"/>
              <w:rPr>
                <w:szCs w:val="24"/>
                <w:lang w:eastAsia="lt-LT"/>
              </w:rPr>
            </w:pPr>
            <w:r w:rsidRPr="00096768">
              <w:rPr>
                <w:szCs w:val="24"/>
                <w:lang w:eastAsia="lt-LT"/>
              </w:rPr>
              <w:t>Kad įgyvendinamos priemonės būtų efektyvios, jas reikia įgyvendinti tam tikrą laiko tarpą, siūloma, kad bent 5 metus.</w:t>
            </w:r>
          </w:p>
        </w:tc>
      </w:tr>
    </w:tbl>
    <w:p w14:paraId="08B871AD" w14:textId="77777777" w:rsidR="001D49EB" w:rsidRPr="00096768" w:rsidRDefault="001D49EB">
      <w:pPr>
        <w:widowControl w:val="0"/>
        <w:spacing w:line="240" w:lineRule="exact"/>
        <w:jc w:val="both"/>
        <w:textAlignment w:val="baseline"/>
        <w:rPr>
          <w:szCs w:val="24"/>
        </w:rPr>
      </w:pPr>
    </w:p>
    <w:p w14:paraId="3A263530" w14:textId="7A5262D6" w:rsidR="00951525" w:rsidRPr="003F27A6" w:rsidRDefault="001F70D1">
      <w:pPr>
        <w:widowControl w:val="0"/>
        <w:pBdr>
          <w:bottom w:val="single" w:sz="12" w:space="1" w:color="auto"/>
        </w:pBdr>
        <w:spacing w:line="240" w:lineRule="exact"/>
        <w:jc w:val="both"/>
        <w:textAlignment w:val="baseline"/>
        <w:rPr>
          <w:b/>
          <w:bCs/>
          <w:szCs w:val="24"/>
        </w:rPr>
      </w:pPr>
      <w:r w:rsidRPr="003F27A6">
        <w:rPr>
          <w:b/>
          <w:bCs/>
          <w:szCs w:val="24"/>
        </w:rPr>
        <w:t xml:space="preserve">Prioritetiniai kriterijai nenustatomi, nes </w:t>
      </w:r>
      <w:r w:rsidR="00A14485" w:rsidRPr="003F27A6">
        <w:rPr>
          <w:b/>
          <w:bCs/>
          <w:szCs w:val="24"/>
        </w:rPr>
        <w:t xml:space="preserve">priemonei taikomas </w:t>
      </w:r>
      <w:r w:rsidRPr="003F27A6">
        <w:rPr>
          <w:b/>
          <w:bCs/>
          <w:szCs w:val="24"/>
        </w:rPr>
        <w:t>kompensaci</w:t>
      </w:r>
      <w:r w:rsidR="00A14485" w:rsidRPr="003F27A6">
        <w:rPr>
          <w:b/>
          <w:bCs/>
          <w:szCs w:val="24"/>
        </w:rPr>
        <w:t>jų atrankos būdas</w:t>
      </w:r>
    </w:p>
    <w:p w14:paraId="30B307FA" w14:textId="5F45D092" w:rsidR="00F85313" w:rsidRPr="00096768" w:rsidRDefault="00F85313">
      <w:pPr>
        <w:widowControl w:val="0"/>
        <w:spacing w:line="240" w:lineRule="exact"/>
        <w:jc w:val="center"/>
        <w:textAlignment w:val="baseline"/>
        <w:rPr>
          <w:szCs w:val="24"/>
        </w:rPr>
      </w:pPr>
    </w:p>
    <w:p w14:paraId="75F54630" w14:textId="77777777" w:rsidR="00654FE8" w:rsidRPr="00096768" w:rsidRDefault="00654FE8">
      <w:pPr>
        <w:widowControl w:val="0"/>
        <w:spacing w:line="240" w:lineRule="exact"/>
        <w:jc w:val="center"/>
        <w:textAlignment w:val="baseline"/>
        <w:rPr>
          <w:b/>
          <w:bCs/>
          <w:szCs w:val="24"/>
        </w:rPr>
      </w:pPr>
    </w:p>
    <w:p w14:paraId="225DB35E" w14:textId="77777777" w:rsidR="00654FE8" w:rsidRPr="00096768" w:rsidRDefault="00654FE8">
      <w:pPr>
        <w:widowControl w:val="0"/>
        <w:spacing w:line="240" w:lineRule="exact"/>
        <w:jc w:val="center"/>
        <w:textAlignment w:val="baseline"/>
        <w:rPr>
          <w:b/>
          <w:bCs/>
          <w:szCs w:val="24"/>
        </w:rPr>
      </w:pPr>
    </w:p>
    <w:p w14:paraId="145F4736" w14:textId="7BF78771" w:rsidR="00F85313" w:rsidRPr="00096768" w:rsidRDefault="003F27A6">
      <w:pPr>
        <w:widowControl w:val="0"/>
        <w:spacing w:line="240" w:lineRule="exact"/>
        <w:jc w:val="center"/>
        <w:textAlignment w:val="baseline"/>
        <w:rPr>
          <w:b/>
          <w:bCs/>
          <w:szCs w:val="24"/>
        </w:rPr>
      </w:pPr>
      <w:r>
        <w:rPr>
          <w:b/>
          <w:bCs/>
          <w:szCs w:val="24"/>
        </w:rPr>
        <w:t xml:space="preserve">Bendra </w:t>
      </w:r>
      <w:r w:rsidR="00752DCF" w:rsidRPr="00096768">
        <w:rPr>
          <w:b/>
          <w:bCs/>
          <w:szCs w:val="24"/>
        </w:rPr>
        <w:t>informacija</w:t>
      </w:r>
      <w:r>
        <w:rPr>
          <w:b/>
          <w:bCs/>
          <w:szCs w:val="24"/>
        </w:rPr>
        <w:t xml:space="preserve"> apie priemonę </w:t>
      </w:r>
      <w:r w:rsidRPr="00096768">
        <w:rPr>
          <w:b/>
          <w:bCs/>
          <w:szCs w:val="24"/>
        </w:rPr>
        <w:t>„</w:t>
      </w:r>
      <w:proofErr w:type="spellStart"/>
      <w:r w:rsidRPr="00096768">
        <w:rPr>
          <w:b/>
          <w:bCs/>
          <w:szCs w:val="24"/>
        </w:rPr>
        <w:t>Gamtotvarkos</w:t>
      </w:r>
      <w:proofErr w:type="spellEnd"/>
      <w:r w:rsidRPr="00096768">
        <w:rPr>
          <w:b/>
          <w:bCs/>
          <w:szCs w:val="24"/>
        </w:rPr>
        <w:t xml:space="preserve"> priemonių įgyvendinimas“</w:t>
      </w:r>
    </w:p>
    <w:p w14:paraId="7AD942DF" w14:textId="77777777" w:rsidR="003F3A63" w:rsidRPr="00096768" w:rsidRDefault="003F3A63">
      <w:pPr>
        <w:widowControl w:val="0"/>
        <w:spacing w:line="240" w:lineRule="exact"/>
        <w:jc w:val="center"/>
        <w:textAlignment w:val="baseline"/>
        <w:rPr>
          <w:b/>
          <w:bCs/>
          <w:szCs w:val="24"/>
        </w:rPr>
      </w:pPr>
    </w:p>
    <w:p w14:paraId="374CE31E" w14:textId="424F04E7" w:rsidR="00752DCF" w:rsidRPr="003F27A6" w:rsidRDefault="003F27A6" w:rsidP="00752DCF">
      <w:pPr>
        <w:spacing w:line="360" w:lineRule="auto"/>
        <w:ind w:firstLine="720"/>
        <w:jc w:val="both"/>
        <w:rPr>
          <w:b/>
          <w:bCs/>
          <w:szCs w:val="24"/>
        </w:rPr>
      </w:pPr>
      <w:r w:rsidRPr="003F27A6">
        <w:rPr>
          <w:b/>
          <w:bCs/>
          <w:szCs w:val="24"/>
        </w:rPr>
        <w:t xml:space="preserve">Numatoma </w:t>
      </w:r>
      <w:r w:rsidRPr="003F27A6">
        <w:rPr>
          <w:szCs w:val="24"/>
        </w:rPr>
        <w:t>galima p</w:t>
      </w:r>
      <w:r w:rsidR="00752DCF" w:rsidRPr="003F27A6">
        <w:rPr>
          <w:szCs w:val="24"/>
        </w:rPr>
        <w:t>riemonės įgyvendinimo ir kompensacijos skaičiavimo metodika:</w:t>
      </w:r>
      <w:r w:rsidR="00752DCF" w:rsidRPr="003F27A6">
        <w:rPr>
          <w:b/>
          <w:bCs/>
          <w:szCs w:val="24"/>
        </w:rPr>
        <w:t xml:space="preserve"> </w:t>
      </w:r>
    </w:p>
    <w:p w14:paraId="16A79E76" w14:textId="77777777" w:rsidR="00752DCF" w:rsidRPr="003F27A6" w:rsidRDefault="003F3A63" w:rsidP="00752DCF">
      <w:pPr>
        <w:pStyle w:val="Sraopastraipa"/>
        <w:widowControl w:val="0"/>
        <w:numPr>
          <w:ilvl w:val="0"/>
          <w:numId w:val="7"/>
        </w:numPr>
        <w:spacing w:line="360" w:lineRule="auto"/>
        <w:jc w:val="both"/>
        <w:textAlignment w:val="baseline"/>
        <w:rPr>
          <w:rFonts w:ascii="Times New Roman" w:hAnsi="Times New Roman" w:cs="Times New Roman"/>
          <w:sz w:val="24"/>
          <w:szCs w:val="24"/>
        </w:rPr>
      </w:pPr>
      <w:proofErr w:type="spellStart"/>
      <w:r w:rsidRPr="003F27A6">
        <w:rPr>
          <w:rFonts w:ascii="Times New Roman" w:hAnsi="Times New Roman" w:cs="Times New Roman"/>
          <w:sz w:val="24"/>
          <w:szCs w:val="24"/>
        </w:rPr>
        <w:t>Gamtotvarkos</w:t>
      </w:r>
      <w:proofErr w:type="spellEnd"/>
      <w:r w:rsidRPr="003F27A6">
        <w:rPr>
          <w:rFonts w:ascii="Times New Roman" w:hAnsi="Times New Roman" w:cs="Times New Roman"/>
          <w:sz w:val="24"/>
          <w:szCs w:val="24"/>
        </w:rPr>
        <w:t xml:space="preserve">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ir metodus, kuriems taikomi specialūs tvarkymo reikalavimai dėl </w:t>
      </w:r>
      <w:proofErr w:type="spellStart"/>
      <w:r w:rsidRPr="003F27A6">
        <w:rPr>
          <w:rFonts w:ascii="Times New Roman" w:hAnsi="Times New Roman" w:cs="Times New Roman"/>
          <w:sz w:val="24"/>
          <w:szCs w:val="24"/>
        </w:rPr>
        <w:t>Natura</w:t>
      </w:r>
      <w:proofErr w:type="spellEnd"/>
      <w:r w:rsidRPr="003F27A6">
        <w:rPr>
          <w:rFonts w:ascii="Times New Roman" w:hAnsi="Times New Roman" w:cs="Times New Roman"/>
          <w:sz w:val="24"/>
          <w:szCs w:val="24"/>
        </w:rPr>
        <w:t xml:space="preserve"> 2000 teritorijų nustatymo. Vykdomi veiksmai griežtesni nei reikalavimai, privalomi taikant tik Europos Sąjungos ir nacionalinės teisės aktus, o </w:t>
      </w:r>
      <w:r w:rsidRPr="003F27A6">
        <w:rPr>
          <w:rFonts w:ascii="Times New Roman" w:hAnsi="Times New Roman" w:cs="Times New Roman"/>
          <w:b/>
          <w:bCs/>
          <w:sz w:val="24"/>
          <w:szCs w:val="24"/>
        </w:rPr>
        <w:t xml:space="preserve">jų poreikis ir pagrįstumas nustatomi ir patvirtinami </w:t>
      </w:r>
      <w:proofErr w:type="spellStart"/>
      <w:r w:rsidRPr="003F27A6">
        <w:rPr>
          <w:rFonts w:ascii="Times New Roman" w:hAnsi="Times New Roman" w:cs="Times New Roman"/>
          <w:b/>
          <w:bCs/>
          <w:sz w:val="24"/>
          <w:szCs w:val="24"/>
        </w:rPr>
        <w:t>gamtotvarkos</w:t>
      </w:r>
      <w:proofErr w:type="spellEnd"/>
      <w:r w:rsidRPr="003F27A6">
        <w:rPr>
          <w:rFonts w:ascii="Times New Roman" w:hAnsi="Times New Roman" w:cs="Times New Roman"/>
          <w:b/>
          <w:bCs/>
          <w:sz w:val="24"/>
          <w:szCs w:val="24"/>
        </w:rPr>
        <w:t xml:space="preserve"> planuose</w:t>
      </w:r>
      <w:r w:rsidRPr="003F27A6">
        <w:rPr>
          <w:rFonts w:ascii="Times New Roman" w:hAnsi="Times New Roman" w:cs="Times New Roman"/>
          <w:sz w:val="24"/>
          <w:szCs w:val="24"/>
        </w:rPr>
        <w:t xml:space="preserve">. </w:t>
      </w:r>
    </w:p>
    <w:p w14:paraId="6291CDE8" w14:textId="5EA88C59" w:rsidR="00752DCF" w:rsidRPr="003F27A6" w:rsidRDefault="00495A02" w:rsidP="00752DCF">
      <w:pPr>
        <w:pStyle w:val="Sraopastraipa"/>
        <w:widowControl w:val="0"/>
        <w:numPr>
          <w:ilvl w:val="0"/>
          <w:numId w:val="7"/>
        </w:numPr>
        <w:spacing w:line="360" w:lineRule="auto"/>
        <w:jc w:val="both"/>
        <w:textAlignment w:val="baseline"/>
        <w:rPr>
          <w:rFonts w:ascii="Times New Roman" w:hAnsi="Times New Roman" w:cs="Times New Roman"/>
          <w:sz w:val="24"/>
          <w:szCs w:val="24"/>
        </w:rPr>
      </w:pPr>
      <w:r w:rsidRPr="003F27A6">
        <w:rPr>
          <w:rFonts w:ascii="Times New Roman" w:hAnsi="Times New Roman" w:cs="Times New Roman"/>
          <w:sz w:val="24"/>
          <w:szCs w:val="24"/>
        </w:rPr>
        <w:t>Metinė k</w:t>
      </w:r>
      <w:r w:rsidR="00752DCF" w:rsidRPr="003F27A6">
        <w:rPr>
          <w:rFonts w:ascii="Times New Roman" w:hAnsi="Times New Roman" w:cs="Times New Roman"/>
          <w:sz w:val="24"/>
          <w:szCs w:val="24"/>
        </w:rPr>
        <w:t xml:space="preserve">ompensacija už </w:t>
      </w:r>
      <w:proofErr w:type="spellStart"/>
      <w:r w:rsidR="00752DCF" w:rsidRPr="003F27A6">
        <w:rPr>
          <w:rFonts w:ascii="Times New Roman" w:hAnsi="Times New Roman" w:cs="Times New Roman"/>
          <w:sz w:val="24"/>
          <w:szCs w:val="24"/>
        </w:rPr>
        <w:t>gamtotvarkos</w:t>
      </w:r>
      <w:proofErr w:type="spellEnd"/>
      <w:r w:rsidR="00752DCF" w:rsidRPr="003F27A6">
        <w:rPr>
          <w:rFonts w:ascii="Times New Roman" w:hAnsi="Times New Roman" w:cs="Times New Roman"/>
          <w:sz w:val="24"/>
          <w:szCs w:val="24"/>
        </w:rPr>
        <w:t xml:space="preserve"> priemonių įgyvendinimą susideda iš dviejų dalių: 1) p</w:t>
      </w:r>
      <w:r w:rsidR="00752DCF" w:rsidRPr="003F27A6">
        <w:rPr>
          <w:rFonts w:ascii="Times New Roman" w:hAnsi="Times New Roman" w:cs="Times New Roman"/>
          <w:sz w:val="24"/>
          <w:szCs w:val="24"/>
          <w:lang w:eastAsia="lt-LT"/>
        </w:rPr>
        <w:t xml:space="preserve">apildomos išlaidos dėl </w:t>
      </w:r>
      <w:proofErr w:type="spellStart"/>
      <w:r w:rsidR="00752DCF" w:rsidRPr="003F27A6">
        <w:rPr>
          <w:rFonts w:ascii="Times New Roman" w:hAnsi="Times New Roman" w:cs="Times New Roman"/>
          <w:sz w:val="24"/>
          <w:szCs w:val="24"/>
          <w:lang w:eastAsia="lt-LT"/>
        </w:rPr>
        <w:t>Gamtotvarkos</w:t>
      </w:r>
      <w:proofErr w:type="spellEnd"/>
      <w:r w:rsidR="00752DCF" w:rsidRPr="003F27A6">
        <w:rPr>
          <w:rFonts w:ascii="Times New Roman" w:hAnsi="Times New Roman" w:cs="Times New Roman"/>
          <w:sz w:val="24"/>
          <w:szCs w:val="24"/>
          <w:lang w:eastAsia="lt-LT"/>
        </w:rPr>
        <w:t xml:space="preserve"> planų įgyvendinimo ir 2) papildomos išlaidos ir negautos pajamos dėl paukščių daromos žalos: </w:t>
      </w:r>
      <w:r w:rsidR="00752DCF" w:rsidRPr="003F27A6">
        <w:rPr>
          <w:rFonts w:ascii="Times New Roman" w:hAnsi="Times New Roman" w:cs="Times New Roman"/>
          <w:b/>
          <w:bCs/>
          <w:sz w:val="24"/>
          <w:szCs w:val="24"/>
          <w:lang w:eastAsia="lt-LT"/>
        </w:rPr>
        <w:t>K</w:t>
      </w:r>
      <w:r w:rsidR="00752DCF" w:rsidRPr="003F27A6">
        <w:rPr>
          <w:rFonts w:ascii="Times New Roman" w:hAnsi="Times New Roman" w:cs="Times New Roman"/>
          <w:b/>
          <w:bCs/>
          <w:sz w:val="24"/>
          <w:szCs w:val="24"/>
          <w:lang w:val="en-US" w:eastAsia="lt-LT"/>
        </w:rPr>
        <w:t>=</w:t>
      </w:r>
      <w:r w:rsidR="00752DCF" w:rsidRPr="003F27A6">
        <w:rPr>
          <w:rFonts w:ascii="Times New Roman" w:hAnsi="Times New Roman" w:cs="Times New Roman"/>
          <w:b/>
          <w:bCs/>
          <w:sz w:val="24"/>
          <w:szCs w:val="24"/>
          <w:lang w:eastAsia="lt-LT"/>
        </w:rPr>
        <w:t>GP+PDŽ;</w:t>
      </w:r>
    </w:p>
    <w:p w14:paraId="4BE602FE" w14:textId="28D906C6" w:rsidR="00752DCF" w:rsidRPr="003F27A6" w:rsidRDefault="00752DCF" w:rsidP="00752DCF">
      <w:pPr>
        <w:pStyle w:val="Sraopastraipa"/>
        <w:widowControl w:val="0"/>
        <w:numPr>
          <w:ilvl w:val="0"/>
          <w:numId w:val="7"/>
        </w:numPr>
        <w:spacing w:line="360" w:lineRule="auto"/>
        <w:jc w:val="both"/>
        <w:textAlignment w:val="baseline"/>
        <w:rPr>
          <w:rFonts w:ascii="Times New Roman" w:hAnsi="Times New Roman" w:cs="Times New Roman"/>
          <w:sz w:val="24"/>
          <w:szCs w:val="24"/>
        </w:rPr>
      </w:pPr>
      <w:r w:rsidRPr="003F27A6">
        <w:rPr>
          <w:rFonts w:ascii="Times New Roman" w:hAnsi="Times New Roman" w:cs="Times New Roman"/>
          <w:sz w:val="24"/>
          <w:szCs w:val="24"/>
        </w:rPr>
        <w:t xml:space="preserve">Kompensacijos už paukščių žalą mokamos tik tiems kas įgyvendina </w:t>
      </w:r>
      <w:proofErr w:type="spellStart"/>
      <w:r w:rsidRPr="003F27A6">
        <w:rPr>
          <w:rFonts w:ascii="Times New Roman" w:hAnsi="Times New Roman" w:cs="Times New Roman"/>
          <w:sz w:val="24"/>
          <w:szCs w:val="24"/>
        </w:rPr>
        <w:t>gamtotvarkos</w:t>
      </w:r>
      <w:proofErr w:type="spellEnd"/>
      <w:r w:rsidRPr="003F27A6">
        <w:rPr>
          <w:rFonts w:ascii="Times New Roman" w:hAnsi="Times New Roman" w:cs="Times New Roman"/>
          <w:sz w:val="24"/>
          <w:szCs w:val="24"/>
        </w:rPr>
        <w:t xml:space="preserve"> planus.</w:t>
      </w:r>
    </w:p>
    <w:p w14:paraId="1F723091" w14:textId="142A6716" w:rsidR="00752DCF" w:rsidRPr="003F27A6" w:rsidRDefault="00752DCF" w:rsidP="00752DCF">
      <w:pPr>
        <w:pStyle w:val="Sraopastraipa"/>
        <w:widowControl w:val="0"/>
        <w:numPr>
          <w:ilvl w:val="0"/>
          <w:numId w:val="7"/>
        </w:numPr>
        <w:spacing w:line="360" w:lineRule="auto"/>
        <w:jc w:val="both"/>
        <w:textAlignment w:val="baseline"/>
        <w:rPr>
          <w:rFonts w:ascii="Times New Roman" w:hAnsi="Times New Roman" w:cs="Times New Roman"/>
          <w:sz w:val="24"/>
          <w:szCs w:val="24"/>
        </w:rPr>
      </w:pPr>
      <w:r w:rsidRPr="003F27A6">
        <w:rPr>
          <w:rFonts w:ascii="Times New Roman" w:hAnsi="Times New Roman" w:cs="Times New Roman"/>
          <w:sz w:val="24"/>
          <w:szCs w:val="24"/>
        </w:rPr>
        <w:t xml:space="preserve">Kompensacija dėl </w:t>
      </w:r>
      <w:r w:rsidRPr="003F27A6">
        <w:rPr>
          <w:rFonts w:ascii="Times New Roman" w:hAnsi="Times New Roman" w:cs="Times New Roman"/>
          <w:sz w:val="24"/>
          <w:szCs w:val="24"/>
          <w:lang w:eastAsia="lt-LT"/>
        </w:rPr>
        <w:t xml:space="preserve">papildomų išlaidų dėl </w:t>
      </w:r>
      <w:proofErr w:type="spellStart"/>
      <w:r w:rsidRPr="003F27A6">
        <w:rPr>
          <w:rFonts w:ascii="Times New Roman" w:hAnsi="Times New Roman" w:cs="Times New Roman"/>
          <w:sz w:val="24"/>
          <w:szCs w:val="24"/>
          <w:lang w:eastAsia="lt-LT"/>
        </w:rPr>
        <w:t>Gamtotvarkos</w:t>
      </w:r>
      <w:proofErr w:type="spellEnd"/>
      <w:r w:rsidRPr="003F27A6">
        <w:rPr>
          <w:rFonts w:ascii="Times New Roman" w:hAnsi="Times New Roman" w:cs="Times New Roman"/>
          <w:sz w:val="24"/>
          <w:szCs w:val="24"/>
          <w:lang w:eastAsia="lt-LT"/>
        </w:rPr>
        <w:t xml:space="preserve"> planų įgyvendinimo (GP) </w:t>
      </w:r>
      <w:r w:rsidR="00495A02" w:rsidRPr="003F27A6">
        <w:rPr>
          <w:rFonts w:ascii="Times New Roman" w:hAnsi="Times New Roman" w:cs="Times New Roman"/>
          <w:sz w:val="24"/>
          <w:szCs w:val="24"/>
          <w:lang w:eastAsia="lt-LT"/>
        </w:rPr>
        <w:t xml:space="preserve">atitinkamais metais </w:t>
      </w:r>
      <w:r w:rsidRPr="003F27A6">
        <w:rPr>
          <w:rFonts w:ascii="Times New Roman" w:hAnsi="Times New Roman" w:cs="Times New Roman"/>
          <w:sz w:val="24"/>
          <w:szCs w:val="24"/>
          <w:lang w:eastAsia="lt-LT"/>
        </w:rPr>
        <w:t xml:space="preserve">apskaičiuojama sekančiai: </w:t>
      </w:r>
    </w:p>
    <w:p w14:paraId="28E5A336" w14:textId="7166EAF8" w:rsidR="00752DCF" w:rsidRPr="003F27A6" w:rsidRDefault="00A14485" w:rsidP="00752DCF">
      <w:pPr>
        <w:pStyle w:val="Sraopastraipa"/>
        <w:widowControl w:val="0"/>
        <w:spacing w:line="360" w:lineRule="auto"/>
        <w:jc w:val="both"/>
        <w:textAlignment w:val="baseline"/>
        <w:rPr>
          <w:rFonts w:ascii="Times New Roman" w:hAnsi="Times New Roman" w:cs="Times New Roman"/>
          <w:sz w:val="24"/>
          <w:szCs w:val="24"/>
        </w:rPr>
      </w:pPr>
      <w:r w:rsidRPr="003F27A6">
        <w:rPr>
          <w:rFonts w:ascii="Times New Roman" w:hAnsi="Times New Roman" w:cs="Times New Roman"/>
          <w:b/>
          <w:bCs/>
          <w:sz w:val="24"/>
          <w:szCs w:val="24"/>
          <w:lang w:eastAsia="lt-LT"/>
        </w:rPr>
        <w:t>GP</w:t>
      </w:r>
      <w:r w:rsidRPr="003F27A6">
        <w:rPr>
          <w:rFonts w:ascii="Times New Roman" w:hAnsi="Times New Roman" w:cs="Times New Roman"/>
          <w:b/>
          <w:bCs/>
          <w:sz w:val="24"/>
          <w:szCs w:val="24"/>
          <w:lang w:val="en-US" w:eastAsia="lt-LT"/>
        </w:rPr>
        <w:t>=</w:t>
      </w:r>
      <w:r w:rsidR="00752DCF" w:rsidRPr="003F27A6">
        <w:rPr>
          <w:rFonts w:ascii="Times New Roman" w:hAnsi="Times New Roman" w:cs="Times New Roman"/>
          <w:b/>
          <w:bCs/>
          <w:sz w:val="24"/>
          <w:szCs w:val="24"/>
          <w:lang w:eastAsia="lt-LT"/>
        </w:rPr>
        <w:t>FĮ (GP) * ha</w:t>
      </w:r>
    </w:p>
    <w:p w14:paraId="5EC40D80" w14:textId="14B68DB1" w:rsidR="00495A02" w:rsidRPr="003F27A6" w:rsidRDefault="00495A02" w:rsidP="003F3A63">
      <w:pPr>
        <w:spacing w:line="360" w:lineRule="auto"/>
        <w:ind w:firstLine="720"/>
        <w:jc w:val="both"/>
        <w:rPr>
          <w:szCs w:val="24"/>
        </w:rPr>
      </w:pPr>
      <w:r w:rsidRPr="003F27A6">
        <w:rPr>
          <w:b/>
          <w:bCs/>
          <w:szCs w:val="24"/>
          <w:lang w:eastAsia="lt-LT"/>
        </w:rPr>
        <w:t xml:space="preserve">FĮ (GP) – </w:t>
      </w:r>
      <w:r w:rsidRPr="003F27A6">
        <w:rPr>
          <w:szCs w:val="24"/>
        </w:rPr>
        <w:t xml:space="preserve">fiksuotas įkainis už vieną </w:t>
      </w:r>
      <w:proofErr w:type="spellStart"/>
      <w:r w:rsidRPr="003F27A6">
        <w:rPr>
          <w:szCs w:val="24"/>
        </w:rPr>
        <w:t>įžuvintų</w:t>
      </w:r>
      <w:proofErr w:type="spellEnd"/>
      <w:r w:rsidRPr="003F27A6">
        <w:rPr>
          <w:szCs w:val="24"/>
        </w:rPr>
        <w:t xml:space="preserve"> tvenkinių hektarą (patenkantį į patvirtintą ir tinkamai įgyvendinamą </w:t>
      </w:r>
      <w:proofErr w:type="spellStart"/>
      <w:r w:rsidRPr="003F27A6">
        <w:rPr>
          <w:szCs w:val="24"/>
        </w:rPr>
        <w:t>gamtotvarkos</w:t>
      </w:r>
      <w:proofErr w:type="spellEnd"/>
      <w:r w:rsidRPr="003F27A6">
        <w:rPr>
          <w:szCs w:val="24"/>
        </w:rPr>
        <w:t xml:space="preserve"> planą) per metus </w:t>
      </w:r>
    </w:p>
    <w:p w14:paraId="0133D1BA" w14:textId="496970AF" w:rsidR="00ED4C0F" w:rsidRPr="003F27A6" w:rsidRDefault="00752DCF" w:rsidP="00ED4C0F">
      <w:pPr>
        <w:spacing w:line="360" w:lineRule="auto"/>
        <w:ind w:firstLine="720"/>
        <w:jc w:val="both"/>
        <w:rPr>
          <w:szCs w:val="24"/>
        </w:rPr>
      </w:pPr>
      <w:r w:rsidRPr="003F27A6">
        <w:rPr>
          <w:szCs w:val="24"/>
        </w:rPr>
        <w:t>Europos socialinio fondo agentūra (ESFA</w:t>
      </w:r>
      <w:r w:rsidR="00495A02" w:rsidRPr="003F27A6">
        <w:rPr>
          <w:szCs w:val="24"/>
        </w:rPr>
        <w:t>)</w:t>
      </w:r>
      <w:r w:rsidRPr="003F27A6">
        <w:rPr>
          <w:szCs w:val="24"/>
        </w:rPr>
        <w:t xml:space="preserve"> ŽŪM užsakymu apskaičiavo, kad naujuoju 2021–2027 m. programiniu laikotarpi</w:t>
      </w:r>
      <w:r w:rsidR="00495A02" w:rsidRPr="003F27A6">
        <w:rPr>
          <w:szCs w:val="24"/>
        </w:rPr>
        <w:t>u</w:t>
      </w:r>
      <w:r w:rsidRPr="003F27A6">
        <w:rPr>
          <w:szCs w:val="24"/>
        </w:rPr>
        <w:t xml:space="preserve"> </w:t>
      </w:r>
      <w:r w:rsidR="00495A02" w:rsidRPr="003F27A6">
        <w:rPr>
          <w:szCs w:val="24"/>
        </w:rPr>
        <w:t xml:space="preserve">toliau įgyvendinant akvakultūros </w:t>
      </w:r>
      <w:proofErr w:type="spellStart"/>
      <w:r w:rsidR="00495A02" w:rsidRPr="003F27A6">
        <w:rPr>
          <w:szCs w:val="24"/>
        </w:rPr>
        <w:t>gamtotvarkos</w:t>
      </w:r>
      <w:proofErr w:type="spellEnd"/>
      <w:r w:rsidR="00495A02" w:rsidRPr="003F27A6">
        <w:rPr>
          <w:szCs w:val="24"/>
        </w:rPr>
        <w:t xml:space="preserve"> planus </w:t>
      </w:r>
      <w:r w:rsidRPr="003F27A6">
        <w:rPr>
          <w:szCs w:val="24"/>
        </w:rPr>
        <w:t xml:space="preserve">analogiškus kaip 2014–2020 m. programiniu laikotarpiu, </w:t>
      </w:r>
      <w:r w:rsidR="00495A02" w:rsidRPr="003F27A6">
        <w:rPr>
          <w:b/>
          <w:bCs/>
          <w:szCs w:val="24"/>
        </w:rPr>
        <w:t>FĮ (GP)</w:t>
      </w:r>
      <w:r w:rsidRPr="003F27A6">
        <w:rPr>
          <w:szCs w:val="24"/>
        </w:rPr>
        <w:t xml:space="preserve"> (ver2  2023.02.01 dienai): ne </w:t>
      </w:r>
      <w:proofErr w:type="spellStart"/>
      <w:r w:rsidRPr="003F27A6">
        <w:rPr>
          <w:szCs w:val="24"/>
        </w:rPr>
        <w:t>Natura</w:t>
      </w:r>
      <w:proofErr w:type="spellEnd"/>
      <w:r w:rsidRPr="003F27A6">
        <w:rPr>
          <w:szCs w:val="24"/>
        </w:rPr>
        <w:t xml:space="preserve"> 2000 teritorijose FĮ1 </w:t>
      </w:r>
      <w:r w:rsidRPr="003F27A6">
        <w:rPr>
          <w:szCs w:val="24"/>
        </w:rPr>
        <w:lastRenderedPageBreak/>
        <w:t xml:space="preserve">(be PVM) – 91,93 Eur, FĮ1 (su PVM) – 111,24 Eur; </w:t>
      </w:r>
      <w:proofErr w:type="spellStart"/>
      <w:r w:rsidRPr="003F27A6">
        <w:rPr>
          <w:szCs w:val="24"/>
        </w:rPr>
        <w:t>Natura</w:t>
      </w:r>
      <w:proofErr w:type="spellEnd"/>
      <w:r w:rsidRPr="003F27A6">
        <w:rPr>
          <w:szCs w:val="24"/>
        </w:rPr>
        <w:t xml:space="preserve"> 2000 teritorijose FĮ2 (be PVM) – 128,48 Eur, FĮ2 (su PVM) –155,46 Eur (įkainis gali būti indeksuojamas ir perskaičiuojamas kasmet). Kadangi akvakultūros ūkiai yra ekonominę veiklą vykdantys subjektai, jiems turėtų būti taikomas įkainis be PVM.</w:t>
      </w:r>
    </w:p>
    <w:p w14:paraId="45DF1B32" w14:textId="75984B96" w:rsidR="00A14485" w:rsidRPr="003F27A6" w:rsidRDefault="00A14485" w:rsidP="00A4376A">
      <w:pPr>
        <w:pStyle w:val="Sraopastraipa"/>
        <w:rPr>
          <w:rFonts w:ascii="Times New Roman" w:hAnsi="Times New Roman" w:cs="Times New Roman"/>
          <w:sz w:val="24"/>
          <w:szCs w:val="24"/>
        </w:rPr>
      </w:pPr>
      <w:r w:rsidRPr="003F27A6">
        <w:rPr>
          <w:rFonts w:ascii="Times New Roman" w:hAnsi="Times New Roman" w:cs="Times New Roman"/>
          <w:sz w:val="24"/>
          <w:szCs w:val="24"/>
        </w:rPr>
        <w:t xml:space="preserve">Kompensacija dėl </w:t>
      </w:r>
      <w:r w:rsidRPr="003F27A6">
        <w:rPr>
          <w:rFonts w:ascii="Times New Roman" w:hAnsi="Times New Roman" w:cs="Times New Roman"/>
          <w:sz w:val="24"/>
          <w:szCs w:val="24"/>
          <w:lang w:eastAsia="lt-LT"/>
        </w:rPr>
        <w:t xml:space="preserve">paukščių daromos žalos </w:t>
      </w:r>
      <w:r w:rsidRPr="003F27A6">
        <w:rPr>
          <w:rFonts w:ascii="Times New Roman" w:hAnsi="Times New Roman" w:cs="Times New Roman"/>
          <w:b/>
          <w:bCs/>
          <w:sz w:val="24"/>
          <w:szCs w:val="24"/>
          <w:lang w:eastAsia="lt-LT"/>
        </w:rPr>
        <w:t>(PDŽ)</w:t>
      </w:r>
      <w:r w:rsidRPr="003F27A6">
        <w:rPr>
          <w:rFonts w:ascii="Times New Roman" w:hAnsi="Times New Roman" w:cs="Times New Roman"/>
          <w:sz w:val="24"/>
          <w:szCs w:val="24"/>
          <w:lang w:eastAsia="lt-LT"/>
        </w:rPr>
        <w:t xml:space="preserve"> atitinkamais metais apskaičiuojama sekančiai</w:t>
      </w:r>
      <w:r w:rsidR="00A4376A" w:rsidRPr="003F27A6">
        <w:rPr>
          <w:rFonts w:ascii="Times New Roman" w:hAnsi="Times New Roman" w:cs="Times New Roman"/>
          <w:sz w:val="24"/>
          <w:szCs w:val="24"/>
        </w:rPr>
        <w:t xml:space="preserve"> (numatoma kompensuoti pagal </w:t>
      </w:r>
      <w:proofErr w:type="spellStart"/>
      <w:r w:rsidR="00A4376A" w:rsidRPr="003F27A6">
        <w:rPr>
          <w:rFonts w:ascii="Times New Roman" w:hAnsi="Times New Roman" w:cs="Times New Roman"/>
          <w:sz w:val="24"/>
          <w:szCs w:val="24"/>
        </w:rPr>
        <w:t>paukščiadienius</w:t>
      </w:r>
      <w:proofErr w:type="spellEnd"/>
      <w:r w:rsidR="00A4376A" w:rsidRPr="003F27A6">
        <w:rPr>
          <w:rFonts w:ascii="Times New Roman" w:hAnsi="Times New Roman" w:cs="Times New Roman"/>
          <w:sz w:val="24"/>
          <w:szCs w:val="24"/>
        </w:rPr>
        <w:t>)</w:t>
      </w:r>
      <w:r w:rsidRPr="003F27A6">
        <w:rPr>
          <w:rFonts w:ascii="Times New Roman" w:hAnsi="Times New Roman" w:cs="Times New Roman"/>
          <w:sz w:val="24"/>
          <w:szCs w:val="24"/>
          <w:lang w:eastAsia="lt-LT"/>
        </w:rPr>
        <w:t xml:space="preserve">: </w:t>
      </w:r>
    </w:p>
    <w:p w14:paraId="1B232356" w14:textId="7ECFED14" w:rsidR="00A14485" w:rsidRPr="003F27A6" w:rsidRDefault="00A14485" w:rsidP="00A14485">
      <w:pPr>
        <w:pStyle w:val="Sraopastraipa"/>
        <w:widowControl w:val="0"/>
        <w:spacing w:line="360" w:lineRule="auto"/>
        <w:jc w:val="both"/>
        <w:textAlignment w:val="baseline"/>
        <w:rPr>
          <w:rFonts w:ascii="Times New Roman" w:hAnsi="Times New Roman" w:cs="Times New Roman"/>
          <w:sz w:val="24"/>
          <w:szCs w:val="24"/>
        </w:rPr>
      </w:pPr>
      <w:r w:rsidRPr="003F27A6">
        <w:rPr>
          <w:rFonts w:ascii="Times New Roman" w:hAnsi="Times New Roman" w:cs="Times New Roman"/>
          <w:b/>
          <w:bCs/>
          <w:sz w:val="24"/>
          <w:szCs w:val="24"/>
          <w:lang w:eastAsia="lt-LT"/>
        </w:rPr>
        <w:t>PDŽ</w:t>
      </w:r>
      <w:r w:rsidRPr="003F27A6">
        <w:rPr>
          <w:rFonts w:ascii="Times New Roman" w:hAnsi="Times New Roman" w:cs="Times New Roman"/>
          <w:b/>
          <w:bCs/>
          <w:sz w:val="24"/>
          <w:szCs w:val="24"/>
          <w:lang w:val="en-US" w:eastAsia="lt-LT"/>
        </w:rPr>
        <w:t>=</w:t>
      </w:r>
      <w:r w:rsidR="00ED4C0F" w:rsidRPr="003F27A6">
        <w:rPr>
          <w:rFonts w:ascii="Times New Roman" w:hAnsi="Times New Roman" w:cs="Times New Roman"/>
          <w:b/>
          <w:bCs/>
          <w:sz w:val="24"/>
          <w:szCs w:val="24"/>
          <w:lang w:val="en-US" w:eastAsia="lt-LT"/>
        </w:rPr>
        <w:t>(</w:t>
      </w:r>
      <w:r w:rsidRPr="003F27A6">
        <w:rPr>
          <w:rFonts w:ascii="Times New Roman" w:hAnsi="Times New Roman" w:cs="Times New Roman"/>
          <w:b/>
          <w:bCs/>
          <w:sz w:val="24"/>
          <w:szCs w:val="24"/>
          <w:lang w:eastAsia="lt-LT"/>
        </w:rPr>
        <w:t>FĮ (P</w:t>
      </w:r>
      <w:r w:rsidRPr="003F27A6">
        <w:rPr>
          <w:rFonts w:ascii="Times New Roman" w:hAnsi="Times New Roman" w:cs="Times New Roman"/>
          <w:b/>
          <w:bCs/>
          <w:sz w:val="24"/>
          <w:szCs w:val="24"/>
          <w:vertAlign w:val="superscript"/>
          <w:lang w:eastAsia="lt-LT"/>
        </w:rPr>
        <w:t>1</w:t>
      </w:r>
      <w:r w:rsidRPr="003F27A6">
        <w:rPr>
          <w:rFonts w:ascii="Times New Roman" w:hAnsi="Times New Roman" w:cs="Times New Roman"/>
          <w:b/>
          <w:bCs/>
          <w:sz w:val="24"/>
          <w:szCs w:val="24"/>
          <w:lang w:eastAsia="lt-LT"/>
        </w:rPr>
        <w:t>) * d</w:t>
      </w:r>
      <w:r w:rsidRPr="003F27A6">
        <w:rPr>
          <w:rFonts w:ascii="Times New Roman" w:hAnsi="Times New Roman" w:cs="Times New Roman"/>
          <w:b/>
          <w:bCs/>
          <w:sz w:val="24"/>
          <w:szCs w:val="24"/>
          <w:vertAlign w:val="superscript"/>
          <w:lang w:eastAsia="lt-LT"/>
        </w:rPr>
        <w:t>1</w:t>
      </w:r>
      <w:r w:rsidR="00ED4C0F" w:rsidRPr="003F27A6">
        <w:rPr>
          <w:rFonts w:ascii="Times New Roman" w:hAnsi="Times New Roman" w:cs="Times New Roman"/>
          <w:b/>
          <w:bCs/>
          <w:sz w:val="24"/>
          <w:szCs w:val="24"/>
          <w:lang w:eastAsia="lt-LT"/>
        </w:rPr>
        <w:t xml:space="preserve"> </w:t>
      </w:r>
      <w:r w:rsidRPr="003F27A6">
        <w:rPr>
          <w:rFonts w:ascii="Times New Roman" w:hAnsi="Times New Roman" w:cs="Times New Roman"/>
          <w:b/>
          <w:bCs/>
          <w:sz w:val="24"/>
          <w:szCs w:val="24"/>
          <w:lang w:eastAsia="lt-LT"/>
        </w:rPr>
        <w:t>+</w:t>
      </w:r>
      <w:r w:rsidR="00ED4C0F" w:rsidRPr="003F27A6">
        <w:rPr>
          <w:rFonts w:ascii="Times New Roman" w:hAnsi="Times New Roman" w:cs="Times New Roman"/>
          <w:b/>
          <w:bCs/>
          <w:sz w:val="24"/>
          <w:szCs w:val="24"/>
          <w:lang w:eastAsia="lt-LT"/>
        </w:rPr>
        <w:t xml:space="preserve"> </w:t>
      </w:r>
      <w:r w:rsidRPr="003F27A6">
        <w:rPr>
          <w:rFonts w:ascii="Times New Roman" w:hAnsi="Times New Roman" w:cs="Times New Roman"/>
          <w:b/>
          <w:bCs/>
          <w:sz w:val="24"/>
          <w:szCs w:val="24"/>
          <w:lang w:eastAsia="lt-LT"/>
        </w:rPr>
        <w:t>FĮ (P</w:t>
      </w:r>
      <w:r w:rsidRPr="003F27A6">
        <w:rPr>
          <w:rFonts w:ascii="Times New Roman" w:hAnsi="Times New Roman" w:cs="Times New Roman"/>
          <w:b/>
          <w:bCs/>
          <w:sz w:val="24"/>
          <w:szCs w:val="24"/>
          <w:vertAlign w:val="superscript"/>
          <w:lang w:eastAsia="lt-LT"/>
        </w:rPr>
        <w:t>2</w:t>
      </w:r>
      <w:r w:rsidRPr="003F27A6">
        <w:rPr>
          <w:rFonts w:ascii="Times New Roman" w:hAnsi="Times New Roman" w:cs="Times New Roman"/>
          <w:b/>
          <w:bCs/>
          <w:sz w:val="24"/>
          <w:szCs w:val="24"/>
          <w:lang w:eastAsia="lt-LT"/>
        </w:rPr>
        <w:t>)*d</w:t>
      </w:r>
      <w:r w:rsidRPr="003F27A6">
        <w:rPr>
          <w:rFonts w:ascii="Times New Roman" w:hAnsi="Times New Roman" w:cs="Times New Roman"/>
          <w:b/>
          <w:bCs/>
          <w:sz w:val="24"/>
          <w:szCs w:val="24"/>
          <w:vertAlign w:val="superscript"/>
          <w:lang w:eastAsia="lt-LT"/>
        </w:rPr>
        <w:t>2</w:t>
      </w:r>
      <w:r w:rsidR="00ED4C0F" w:rsidRPr="003F27A6">
        <w:rPr>
          <w:rFonts w:ascii="Times New Roman" w:hAnsi="Times New Roman" w:cs="Times New Roman"/>
          <w:b/>
          <w:bCs/>
          <w:sz w:val="24"/>
          <w:szCs w:val="24"/>
          <w:lang w:eastAsia="lt-LT"/>
        </w:rPr>
        <w:t xml:space="preserve"> </w:t>
      </w:r>
      <w:r w:rsidRPr="003F27A6">
        <w:rPr>
          <w:rFonts w:ascii="Times New Roman" w:hAnsi="Times New Roman" w:cs="Times New Roman"/>
          <w:b/>
          <w:bCs/>
          <w:sz w:val="24"/>
          <w:szCs w:val="24"/>
          <w:lang w:eastAsia="lt-LT"/>
        </w:rPr>
        <w:t>+</w:t>
      </w:r>
      <w:r w:rsidR="00ED4C0F" w:rsidRPr="003F27A6">
        <w:rPr>
          <w:rFonts w:ascii="Times New Roman" w:hAnsi="Times New Roman" w:cs="Times New Roman"/>
          <w:b/>
          <w:bCs/>
          <w:sz w:val="24"/>
          <w:szCs w:val="24"/>
          <w:lang w:eastAsia="lt-LT"/>
        </w:rPr>
        <w:t xml:space="preserve"> </w:t>
      </w:r>
      <w:r w:rsidRPr="003F27A6">
        <w:rPr>
          <w:rFonts w:ascii="Times New Roman" w:hAnsi="Times New Roman" w:cs="Times New Roman"/>
          <w:b/>
          <w:bCs/>
          <w:sz w:val="24"/>
          <w:szCs w:val="24"/>
          <w:lang w:eastAsia="lt-LT"/>
        </w:rPr>
        <w:t>&lt;...&gt;</w:t>
      </w:r>
      <w:r w:rsidR="00ED4C0F" w:rsidRPr="003F27A6">
        <w:rPr>
          <w:rFonts w:ascii="Times New Roman" w:hAnsi="Times New Roman" w:cs="Times New Roman"/>
          <w:b/>
          <w:bCs/>
          <w:sz w:val="24"/>
          <w:szCs w:val="24"/>
          <w:lang w:eastAsia="lt-LT"/>
        </w:rPr>
        <w:t xml:space="preserve"> + </w:t>
      </w:r>
      <w:r w:rsidRPr="003F27A6">
        <w:rPr>
          <w:rFonts w:ascii="Times New Roman" w:hAnsi="Times New Roman" w:cs="Times New Roman"/>
          <w:b/>
          <w:bCs/>
          <w:sz w:val="24"/>
          <w:szCs w:val="24"/>
          <w:lang w:eastAsia="lt-LT"/>
        </w:rPr>
        <w:t>FĮ(</w:t>
      </w:r>
      <w:proofErr w:type="spellStart"/>
      <w:r w:rsidRPr="003F27A6">
        <w:rPr>
          <w:rFonts w:ascii="Times New Roman" w:hAnsi="Times New Roman" w:cs="Times New Roman"/>
          <w:b/>
          <w:bCs/>
          <w:sz w:val="24"/>
          <w:szCs w:val="24"/>
          <w:lang w:eastAsia="lt-LT"/>
        </w:rPr>
        <w:t>P</w:t>
      </w:r>
      <w:r w:rsidRPr="003F27A6">
        <w:rPr>
          <w:rFonts w:ascii="Times New Roman" w:hAnsi="Times New Roman" w:cs="Times New Roman"/>
          <w:b/>
          <w:bCs/>
          <w:sz w:val="24"/>
          <w:szCs w:val="24"/>
          <w:vertAlign w:val="superscript"/>
          <w:lang w:eastAsia="lt-LT"/>
        </w:rPr>
        <w:t>n</w:t>
      </w:r>
      <w:proofErr w:type="spellEnd"/>
      <w:r w:rsidRPr="003F27A6">
        <w:rPr>
          <w:rFonts w:ascii="Times New Roman" w:hAnsi="Times New Roman" w:cs="Times New Roman"/>
          <w:b/>
          <w:bCs/>
          <w:sz w:val="24"/>
          <w:szCs w:val="24"/>
          <w:lang w:eastAsia="lt-LT"/>
        </w:rPr>
        <w:t>)*</w:t>
      </w:r>
      <w:proofErr w:type="spellStart"/>
      <w:r w:rsidR="00ED4C0F" w:rsidRPr="003F27A6">
        <w:rPr>
          <w:rFonts w:ascii="Times New Roman" w:hAnsi="Times New Roman" w:cs="Times New Roman"/>
          <w:b/>
          <w:bCs/>
          <w:sz w:val="24"/>
          <w:szCs w:val="24"/>
          <w:lang w:eastAsia="lt-LT"/>
        </w:rPr>
        <w:t>d</w:t>
      </w:r>
      <w:r w:rsidR="00ED4C0F" w:rsidRPr="003F27A6">
        <w:rPr>
          <w:rFonts w:ascii="Times New Roman" w:hAnsi="Times New Roman" w:cs="Times New Roman"/>
          <w:b/>
          <w:bCs/>
          <w:sz w:val="24"/>
          <w:szCs w:val="24"/>
          <w:vertAlign w:val="superscript"/>
          <w:lang w:eastAsia="lt-LT"/>
        </w:rPr>
        <w:t>n</w:t>
      </w:r>
      <w:proofErr w:type="spellEnd"/>
      <w:r w:rsidR="00ED4C0F" w:rsidRPr="003F27A6">
        <w:rPr>
          <w:rFonts w:ascii="Times New Roman" w:hAnsi="Times New Roman" w:cs="Times New Roman"/>
          <w:b/>
          <w:bCs/>
          <w:sz w:val="24"/>
          <w:szCs w:val="24"/>
          <w:lang w:eastAsia="lt-LT"/>
        </w:rPr>
        <w:t>)*0,4</w:t>
      </w:r>
    </w:p>
    <w:p w14:paraId="32ADEB72" w14:textId="77777777" w:rsidR="00ED4C0F" w:rsidRPr="003F27A6" w:rsidRDefault="00ED4C0F" w:rsidP="003F3A63">
      <w:pPr>
        <w:spacing w:line="360" w:lineRule="auto"/>
        <w:ind w:firstLine="720"/>
        <w:jc w:val="both"/>
        <w:rPr>
          <w:szCs w:val="24"/>
        </w:rPr>
      </w:pPr>
      <w:r w:rsidRPr="003F27A6">
        <w:rPr>
          <w:szCs w:val="24"/>
        </w:rPr>
        <w:t>Kur:</w:t>
      </w:r>
    </w:p>
    <w:p w14:paraId="0A7F316A" w14:textId="3DC29FD4" w:rsidR="00ED4C0F" w:rsidRPr="003F27A6" w:rsidRDefault="00ED4C0F" w:rsidP="003F3A63">
      <w:pPr>
        <w:spacing w:line="360" w:lineRule="auto"/>
        <w:ind w:firstLine="720"/>
        <w:jc w:val="both"/>
        <w:rPr>
          <w:szCs w:val="24"/>
        </w:rPr>
      </w:pPr>
      <w:r w:rsidRPr="003F27A6">
        <w:rPr>
          <w:szCs w:val="24"/>
        </w:rPr>
        <w:t>nuo P</w:t>
      </w:r>
      <w:r w:rsidRPr="003F27A6">
        <w:rPr>
          <w:szCs w:val="24"/>
          <w:vertAlign w:val="superscript"/>
        </w:rPr>
        <w:t>1</w:t>
      </w:r>
      <w:r w:rsidRPr="003F27A6">
        <w:rPr>
          <w:szCs w:val="24"/>
        </w:rPr>
        <w:t xml:space="preserve"> iki </w:t>
      </w:r>
      <w:proofErr w:type="spellStart"/>
      <w:r w:rsidRPr="003F27A6">
        <w:rPr>
          <w:szCs w:val="24"/>
        </w:rPr>
        <w:t>P</w:t>
      </w:r>
      <w:r w:rsidRPr="003F27A6">
        <w:rPr>
          <w:szCs w:val="24"/>
          <w:vertAlign w:val="superscript"/>
        </w:rPr>
        <w:t>n</w:t>
      </w:r>
      <w:proofErr w:type="spellEnd"/>
      <w:r w:rsidRPr="003F27A6">
        <w:rPr>
          <w:szCs w:val="24"/>
        </w:rPr>
        <w:t xml:space="preserve">  –  saugotin</w:t>
      </w:r>
      <w:r w:rsidR="00A4376A" w:rsidRPr="003F27A6">
        <w:rPr>
          <w:szCs w:val="24"/>
        </w:rPr>
        <w:t>ų</w:t>
      </w:r>
      <w:r w:rsidRPr="003F27A6">
        <w:rPr>
          <w:szCs w:val="24"/>
        </w:rPr>
        <w:t xml:space="preserve"> paukšči</w:t>
      </w:r>
      <w:r w:rsidR="00A4376A" w:rsidRPr="003F27A6">
        <w:rPr>
          <w:szCs w:val="24"/>
        </w:rPr>
        <w:t xml:space="preserve">ų, </w:t>
      </w:r>
      <w:r w:rsidRPr="003F27A6">
        <w:rPr>
          <w:szCs w:val="24"/>
        </w:rPr>
        <w:t>daran</w:t>
      </w:r>
      <w:r w:rsidR="00A4376A" w:rsidRPr="003F27A6">
        <w:rPr>
          <w:szCs w:val="24"/>
        </w:rPr>
        <w:t>čių</w:t>
      </w:r>
      <w:r w:rsidRPr="003F27A6">
        <w:rPr>
          <w:szCs w:val="24"/>
        </w:rPr>
        <w:t xml:space="preserve"> reikšmingą įtaką akvakultūros ūkiams</w:t>
      </w:r>
      <w:r w:rsidR="00A4376A" w:rsidRPr="003F27A6">
        <w:rPr>
          <w:szCs w:val="24"/>
        </w:rPr>
        <w:t>, rūšis</w:t>
      </w:r>
      <w:r w:rsidRPr="003F27A6">
        <w:rPr>
          <w:szCs w:val="24"/>
        </w:rPr>
        <w:t>;</w:t>
      </w:r>
    </w:p>
    <w:p w14:paraId="0C7D873F" w14:textId="0CA93DA0" w:rsidR="00752DCF" w:rsidRPr="003F27A6" w:rsidRDefault="00ED4C0F" w:rsidP="003F3A63">
      <w:pPr>
        <w:spacing w:line="360" w:lineRule="auto"/>
        <w:ind w:firstLine="720"/>
        <w:jc w:val="both"/>
        <w:rPr>
          <w:szCs w:val="24"/>
        </w:rPr>
      </w:pPr>
      <w:r w:rsidRPr="003F27A6">
        <w:rPr>
          <w:szCs w:val="24"/>
        </w:rPr>
        <w:t>nuo d</w:t>
      </w:r>
      <w:r w:rsidRPr="003F27A6">
        <w:rPr>
          <w:szCs w:val="24"/>
          <w:vertAlign w:val="superscript"/>
        </w:rPr>
        <w:t>1</w:t>
      </w:r>
      <w:r w:rsidRPr="003F27A6">
        <w:rPr>
          <w:szCs w:val="24"/>
        </w:rPr>
        <w:t xml:space="preserve"> iki </w:t>
      </w:r>
      <w:proofErr w:type="spellStart"/>
      <w:r w:rsidRPr="003F27A6">
        <w:rPr>
          <w:szCs w:val="24"/>
        </w:rPr>
        <w:t>d</w:t>
      </w:r>
      <w:r w:rsidRPr="003F27A6">
        <w:rPr>
          <w:szCs w:val="24"/>
          <w:vertAlign w:val="superscript"/>
        </w:rPr>
        <w:t>n</w:t>
      </w:r>
      <w:proofErr w:type="spellEnd"/>
      <w:r w:rsidRPr="003F27A6">
        <w:rPr>
          <w:szCs w:val="24"/>
        </w:rPr>
        <w:t xml:space="preserve"> – saugotinų paukščių, darančių reikšmingą įtaką akvakultūros ūkiams, </w:t>
      </w:r>
      <w:proofErr w:type="spellStart"/>
      <w:r w:rsidRPr="003F27A6">
        <w:rPr>
          <w:szCs w:val="24"/>
        </w:rPr>
        <w:t>paukščiadieniai</w:t>
      </w:r>
      <w:proofErr w:type="spellEnd"/>
      <w:r w:rsidRPr="003F27A6">
        <w:rPr>
          <w:szCs w:val="24"/>
        </w:rPr>
        <w:t xml:space="preserve"> konkrečiame </w:t>
      </w:r>
      <w:r w:rsidR="00A4376A" w:rsidRPr="003F27A6">
        <w:rPr>
          <w:szCs w:val="24"/>
        </w:rPr>
        <w:t xml:space="preserve">akvakultūros </w:t>
      </w:r>
      <w:r w:rsidRPr="003F27A6">
        <w:rPr>
          <w:szCs w:val="24"/>
        </w:rPr>
        <w:t xml:space="preserve">ūkyje atitinkamais metais; </w:t>
      </w:r>
    </w:p>
    <w:p w14:paraId="6B14BF16" w14:textId="6E65F602" w:rsidR="00ED4C0F" w:rsidRPr="003F27A6" w:rsidRDefault="00ED4C0F" w:rsidP="003F3A63">
      <w:pPr>
        <w:spacing w:line="360" w:lineRule="auto"/>
        <w:ind w:firstLine="720"/>
        <w:jc w:val="both"/>
        <w:rPr>
          <w:szCs w:val="24"/>
        </w:rPr>
      </w:pPr>
      <w:r w:rsidRPr="003F27A6">
        <w:rPr>
          <w:szCs w:val="24"/>
        </w:rPr>
        <w:t>nuo FĮ (P</w:t>
      </w:r>
      <w:r w:rsidRPr="003F27A6">
        <w:rPr>
          <w:szCs w:val="24"/>
          <w:vertAlign w:val="superscript"/>
        </w:rPr>
        <w:t>1</w:t>
      </w:r>
      <w:r w:rsidRPr="003F27A6">
        <w:rPr>
          <w:szCs w:val="24"/>
        </w:rPr>
        <w:t>) iki FĮ (</w:t>
      </w:r>
      <w:proofErr w:type="spellStart"/>
      <w:r w:rsidRPr="003F27A6">
        <w:rPr>
          <w:szCs w:val="24"/>
        </w:rPr>
        <w:t>P</w:t>
      </w:r>
      <w:r w:rsidRPr="003F27A6">
        <w:rPr>
          <w:szCs w:val="24"/>
          <w:vertAlign w:val="superscript"/>
        </w:rPr>
        <w:t>n</w:t>
      </w:r>
      <w:proofErr w:type="spellEnd"/>
      <w:r w:rsidRPr="003F27A6">
        <w:rPr>
          <w:szCs w:val="24"/>
        </w:rPr>
        <w:t xml:space="preserve">) </w:t>
      </w:r>
      <w:bookmarkStart w:id="1" w:name="_Hlk128585316"/>
      <w:r w:rsidRPr="003F27A6">
        <w:rPr>
          <w:szCs w:val="24"/>
        </w:rPr>
        <w:t>–</w:t>
      </w:r>
      <w:bookmarkEnd w:id="1"/>
      <w:r w:rsidR="00A4376A" w:rsidRPr="003F27A6">
        <w:rPr>
          <w:szCs w:val="24"/>
        </w:rPr>
        <w:t xml:space="preserve"> saugotinų paukščių rūšies akvakultūros ūkiams daromos žalos per vieną </w:t>
      </w:r>
      <w:proofErr w:type="spellStart"/>
      <w:r w:rsidR="00A4376A" w:rsidRPr="003F27A6">
        <w:rPr>
          <w:szCs w:val="24"/>
        </w:rPr>
        <w:t>paukščiadienį</w:t>
      </w:r>
      <w:proofErr w:type="spellEnd"/>
      <w:r w:rsidR="00A4376A" w:rsidRPr="003F27A6">
        <w:rPr>
          <w:szCs w:val="24"/>
        </w:rPr>
        <w:t xml:space="preserve"> fiksuotasis įkainis.</w:t>
      </w:r>
    </w:p>
    <w:p w14:paraId="238921D2" w14:textId="508F5617" w:rsidR="00ED4C0F" w:rsidRPr="003F27A6" w:rsidRDefault="00A4376A" w:rsidP="00A4376A">
      <w:pPr>
        <w:spacing w:line="360" w:lineRule="auto"/>
        <w:ind w:firstLine="720"/>
        <w:jc w:val="both"/>
        <w:rPr>
          <w:szCs w:val="24"/>
        </w:rPr>
      </w:pPr>
      <w:r w:rsidRPr="003F27A6">
        <w:rPr>
          <w:szCs w:val="24"/>
        </w:rPr>
        <w:t>Paukščių žalos fiksuotieji įkainiai dar rengiami.</w:t>
      </w:r>
    </w:p>
    <w:p w14:paraId="25E68D58" w14:textId="085CBB55" w:rsidR="00A4376A" w:rsidRPr="003F27A6" w:rsidRDefault="00A4376A" w:rsidP="00A4376A">
      <w:pPr>
        <w:spacing w:line="360" w:lineRule="auto"/>
        <w:ind w:firstLine="720"/>
        <w:jc w:val="both"/>
        <w:rPr>
          <w:szCs w:val="24"/>
        </w:rPr>
      </w:pPr>
      <w:r w:rsidRPr="003F27A6">
        <w:rPr>
          <w:szCs w:val="24"/>
        </w:rPr>
        <w:t xml:space="preserve">Tiek 2007-2013 m., tiek 2014-2020 m. paramos laikotarpiu akvakultūros ūkiams buvo kompensuojama ne 100 proc. paukščių daromos žalos, siūloma išlaikyti tokį pat dydį kaip ir 2014-2020 m. laikotarpiu – 40 proc. </w:t>
      </w:r>
    </w:p>
    <w:p w14:paraId="688B55FD" w14:textId="77777777" w:rsidR="00A4376A" w:rsidRPr="00096768" w:rsidRDefault="00A4376A" w:rsidP="00A4376A">
      <w:pPr>
        <w:spacing w:line="360" w:lineRule="auto"/>
        <w:ind w:firstLine="720"/>
        <w:jc w:val="both"/>
        <w:rPr>
          <w:szCs w:val="24"/>
        </w:rPr>
      </w:pPr>
    </w:p>
    <w:p w14:paraId="4CB96C33" w14:textId="6015FA35" w:rsidR="00ED4C0F" w:rsidRPr="00096768" w:rsidRDefault="00ED4C0F" w:rsidP="00A4376A">
      <w:pPr>
        <w:widowControl w:val="0"/>
        <w:spacing w:line="360" w:lineRule="auto"/>
        <w:jc w:val="both"/>
        <w:textAlignment w:val="baseline"/>
        <w:rPr>
          <w:szCs w:val="24"/>
        </w:rPr>
      </w:pPr>
      <w:r w:rsidRPr="00096768">
        <w:rPr>
          <w:szCs w:val="24"/>
        </w:rPr>
        <w:t xml:space="preserve">Šiuo metu 17 akvakultūros įmonių įgyvendina patvirtintus 5 metų (2021–2025 m.) </w:t>
      </w:r>
      <w:proofErr w:type="spellStart"/>
      <w:r w:rsidRPr="00096768">
        <w:rPr>
          <w:szCs w:val="24"/>
        </w:rPr>
        <w:t>gamtotvarkos</w:t>
      </w:r>
      <w:proofErr w:type="spellEnd"/>
      <w:r w:rsidRPr="00096768">
        <w:rPr>
          <w:szCs w:val="24"/>
        </w:rPr>
        <w:t xml:space="preserve"> planus, apimančius 9,3 tūkst. ha </w:t>
      </w:r>
      <w:proofErr w:type="spellStart"/>
      <w:r w:rsidRPr="00096768">
        <w:rPr>
          <w:szCs w:val="24"/>
        </w:rPr>
        <w:t>įžuvintų</w:t>
      </w:r>
      <w:proofErr w:type="spellEnd"/>
      <w:r w:rsidRPr="00096768">
        <w:rPr>
          <w:szCs w:val="24"/>
        </w:rPr>
        <w:t xml:space="preserve"> tvenkinių, iš kurių apie 2 tūkst. ha </w:t>
      </w:r>
      <w:proofErr w:type="spellStart"/>
      <w:r w:rsidRPr="00096768">
        <w:rPr>
          <w:szCs w:val="24"/>
        </w:rPr>
        <w:t>Natura</w:t>
      </w:r>
      <w:proofErr w:type="spellEnd"/>
      <w:r w:rsidRPr="00096768">
        <w:rPr>
          <w:szCs w:val="24"/>
        </w:rPr>
        <w:t xml:space="preserve"> 2000 teritorijose. Už 2021 m. ir 2022 m. šioms įmonėms parama teikiama iš 2014–2020 m. paramos programinio laikotarpio, tačiau jos yra įsipareigojusios įgyvendinti planus ne mažiau kaip 5 metus, t. y. ir 2023–2025 m. Numatomas </w:t>
      </w:r>
      <w:proofErr w:type="spellStart"/>
      <w:r w:rsidRPr="00096768">
        <w:rPr>
          <w:szCs w:val="24"/>
        </w:rPr>
        <w:t>įžuvintų</w:t>
      </w:r>
      <w:proofErr w:type="spellEnd"/>
      <w:r w:rsidRPr="00096768">
        <w:rPr>
          <w:szCs w:val="24"/>
        </w:rPr>
        <w:t xml:space="preserve"> tvenkinių plotas, kur galėtų būti įgyvendinami </w:t>
      </w:r>
      <w:proofErr w:type="spellStart"/>
      <w:r w:rsidRPr="00096768">
        <w:rPr>
          <w:szCs w:val="24"/>
        </w:rPr>
        <w:t>gamtotvarkos</w:t>
      </w:r>
      <w:proofErr w:type="spellEnd"/>
      <w:r w:rsidRPr="00096768">
        <w:rPr>
          <w:szCs w:val="24"/>
        </w:rPr>
        <w:t xml:space="preserve"> planai – 9,3–10 tūkst. ha, iš jų apie 2 tūkst. ha </w:t>
      </w:r>
      <w:proofErr w:type="spellStart"/>
      <w:r w:rsidRPr="00096768">
        <w:rPr>
          <w:szCs w:val="24"/>
        </w:rPr>
        <w:t>Natura</w:t>
      </w:r>
      <w:proofErr w:type="spellEnd"/>
      <w:r w:rsidRPr="00096768">
        <w:rPr>
          <w:szCs w:val="24"/>
        </w:rPr>
        <w:t xml:space="preserve"> 2000 teritorijose. Vieniems paramos teikimo metams reikėtų apie 920–990 tūkst. Eur paramos lėšų.</w:t>
      </w:r>
    </w:p>
    <w:p w14:paraId="47E32FA3" w14:textId="5B521C7C" w:rsidR="00F85313" w:rsidRPr="00096768" w:rsidRDefault="00F85313">
      <w:pPr>
        <w:widowControl w:val="0"/>
        <w:spacing w:line="240" w:lineRule="exact"/>
        <w:jc w:val="center"/>
        <w:textAlignment w:val="baseline"/>
        <w:rPr>
          <w:b/>
          <w:bCs/>
          <w:szCs w:val="24"/>
        </w:rPr>
      </w:pPr>
    </w:p>
    <w:tbl>
      <w:tblPr>
        <w:tblW w:w="14596" w:type="dxa"/>
        <w:tblInd w:w="536" w:type="dxa"/>
        <w:tblLook w:val="04A0" w:firstRow="1" w:lastRow="0" w:firstColumn="1" w:lastColumn="0" w:noHBand="0" w:noVBand="1"/>
      </w:tblPr>
      <w:tblGrid>
        <w:gridCol w:w="392"/>
        <w:gridCol w:w="9106"/>
        <w:gridCol w:w="1727"/>
        <w:gridCol w:w="1487"/>
        <w:gridCol w:w="967"/>
        <w:gridCol w:w="917"/>
      </w:tblGrid>
      <w:tr w:rsidR="00096768" w:rsidRPr="00096768" w14:paraId="6A5FD705" w14:textId="77777777" w:rsidTr="003F27A6">
        <w:trPr>
          <w:trHeight w:val="70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87B5" w14:textId="073E14CA" w:rsidR="001F70D1" w:rsidRPr="00096768" w:rsidRDefault="001F70D1" w:rsidP="000E6045">
            <w:pPr>
              <w:jc w:val="center"/>
              <w:rPr>
                <w:szCs w:val="24"/>
                <w:lang w:eastAsia="lt-LT"/>
              </w:rPr>
            </w:pPr>
          </w:p>
        </w:tc>
        <w:tc>
          <w:tcPr>
            <w:tcW w:w="9106" w:type="dxa"/>
            <w:tcBorders>
              <w:top w:val="single" w:sz="4" w:space="0" w:color="auto"/>
              <w:left w:val="nil"/>
              <w:bottom w:val="single" w:sz="4" w:space="0" w:color="auto"/>
              <w:right w:val="single" w:sz="4" w:space="0" w:color="auto"/>
            </w:tcBorders>
            <w:shd w:val="clear" w:color="auto" w:fill="auto"/>
            <w:vAlign w:val="center"/>
            <w:hideMark/>
          </w:tcPr>
          <w:p w14:paraId="20702291" w14:textId="64F1A8D3" w:rsidR="001F70D1" w:rsidRPr="00096768" w:rsidRDefault="001F70D1" w:rsidP="000E6045">
            <w:pPr>
              <w:rPr>
                <w:b/>
                <w:bCs/>
                <w:szCs w:val="24"/>
                <w:lang w:eastAsia="lt-LT"/>
              </w:rPr>
            </w:pPr>
            <w:r w:rsidRPr="00096768">
              <w:rPr>
                <w:b/>
                <w:bCs/>
                <w:szCs w:val="24"/>
                <w:lang w:eastAsia="lt-LT"/>
              </w:rPr>
              <w:t>Kompensuojama:</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08EAD92A" w14:textId="0CF2A4EE" w:rsidR="001F70D1" w:rsidRPr="00096768" w:rsidRDefault="001F70D1" w:rsidP="000E6045">
            <w:pPr>
              <w:jc w:val="center"/>
              <w:rPr>
                <w:szCs w:val="24"/>
                <w:lang w:eastAsia="lt-LT"/>
              </w:rPr>
            </w:pPr>
            <w:r w:rsidRPr="00096768">
              <w:rPr>
                <w:szCs w:val="24"/>
                <w:lang w:eastAsia="lt-LT"/>
              </w:rPr>
              <w:t xml:space="preserve">Preliminarus </w:t>
            </w:r>
            <w:r w:rsidRPr="00096768">
              <w:rPr>
                <w:szCs w:val="24"/>
                <w:lang w:eastAsia="lt-LT"/>
              </w:rPr>
              <w:br/>
              <w:t>biudžetas veikloms, Eur</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27F1BA64" w14:textId="5001E6C9" w:rsidR="001F70D1" w:rsidRPr="00096768" w:rsidRDefault="001F70D1" w:rsidP="000E6045">
            <w:pPr>
              <w:jc w:val="center"/>
              <w:rPr>
                <w:szCs w:val="24"/>
                <w:lang w:eastAsia="lt-LT"/>
              </w:rPr>
            </w:pPr>
            <w:r w:rsidRPr="00096768">
              <w:rPr>
                <w:szCs w:val="24"/>
                <w:lang w:eastAsia="lt-LT"/>
              </w:rPr>
              <w:t xml:space="preserve">Preliminarus </w:t>
            </w:r>
            <w:r w:rsidR="003F27A6">
              <w:rPr>
                <w:szCs w:val="24"/>
                <w:lang w:eastAsia="lt-LT"/>
              </w:rPr>
              <w:t>per</w:t>
            </w:r>
            <w:r w:rsidRPr="00096768">
              <w:rPr>
                <w:szCs w:val="24"/>
                <w:lang w:eastAsia="lt-LT"/>
              </w:rPr>
              <w:t>.sk. (</w:t>
            </w:r>
            <w:r w:rsidR="003F27A6">
              <w:rPr>
                <w:szCs w:val="24"/>
                <w:lang w:eastAsia="lt-LT"/>
              </w:rPr>
              <w:t>PER</w:t>
            </w:r>
            <w:r w:rsidRPr="00096768">
              <w:rPr>
                <w:szCs w:val="24"/>
                <w:lang w:eastAsia="lt-LT"/>
              </w:rPr>
              <w:t>21)</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14:paraId="7F88604C" w14:textId="77777777" w:rsidR="001F70D1" w:rsidRPr="00096768" w:rsidRDefault="001F70D1" w:rsidP="000E6045">
            <w:pPr>
              <w:jc w:val="center"/>
              <w:rPr>
                <w:szCs w:val="24"/>
                <w:lang w:eastAsia="lt-LT"/>
              </w:rPr>
            </w:pPr>
            <w:r w:rsidRPr="00096768">
              <w:rPr>
                <w:szCs w:val="24"/>
                <w:lang w:eastAsia="lt-LT"/>
              </w:rPr>
              <w:t>Pagrindiniai Rezultato rodikliai (RR)*</w:t>
            </w:r>
          </w:p>
        </w:tc>
      </w:tr>
      <w:tr w:rsidR="00096768" w:rsidRPr="00096768" w14:paraId="12C70AAB" w14:textId="77777777" w:rsidTr="003F27A6">
        <w:trPr>
          <w:trHeight w:val="1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8BAF3" w14:textId="77777777" w:rsidR="001F70D1" w:rsidRPr="00096768" w:rsidRDefault="001F70D1" w:rsidP="000E6045">
            <w:pPr>
              <w:jc w:val="center"/>
              <w:rPr>
                <w:szCs w:val="24"/>
                <w:lang w:eastAsia="lt-LT"/>
              </w:rPr>
            </w:pPr>
            <w:r w:rsidRPr="00096768">
              <w:rPr>
                <w:szCs w:val="24"/>
                <w:lang w:eastAsia="lt-LT"/>
              </w:rPr>
              <w:t>1</w:t>
            </w:r>
          </w:p>
        </w:tc>
        <w:tc>
          <w:tcPr>
            <w:tcW w:w="9106" w:type="dxa"/>
            <w:tcBorders>
              <w:top w:val="nil"/>
              <w:left w:val="nil"/>
              <w:bottom w:val="single" w:sz="4" w:space="0" w:color="auto"/>
              <w:right w:val="single" w:sz="4" w:space="0" w:color="auto"/>
            </w:tcBorders>
            <w:shd w:val="clear" w:color="auto" w:fill="auto"/>
            <w:noWrap/>
            <w:vAlign w:val="center"/>
            <w:hideMark/>
          </w:tcPr>
          <w:p w14:paraId="24B8E34E" w14:textId="23472D72" w:rsidR="001F70D1" w:rsidRPr="00096768" w:rsidRDefault="001F70D1" w:rsidP="00922A98">
            <w:pPr>
              <w:rPr>
                <w:szCs w:val="24"/>
                <w:lang w:eastAsia="lt-LT"/>
              </w:rPr>
            </w:pPr>
            <w:r w:rsidRPr="00096768">
              <w:rPr>
                <w:szCs w:val="24"/>
                <w:lang w:eastAsia="lt-LT"/>
              </w:rPr>
              <w:t xml:space="preserve">Papildomos išlaidos dėl </w:t>
            </w:r>
            <w:proofErr w:type="spellStart"/>
            <w:r w:rsidRPr="00096768">
              <w:rPr>
                <w:szCs w:val="24"/>
                <w:lang w:eastAsia="lt-LT"/>
              </w:rPr>
              <w:t>Gamtotvarkos</w:t>
            </w:r>
            <w:proofErr w:type="spellEnd"/>
            <w:r w:rsidRPr="00096768">
              <w:rPr>
                <w:szCs w:val="24"/>
                <w:lang w:eastAsia="lt-LT"/>
              </w:rPr>
              <w:t xml:space="preserve"> planų įgyvendinimo</w:t>
            </w:r>
          </w:p>
        </w:tc>
        <w:tc>
          <w:tcPr>
            <w:tcW w:w="1727" w:type="dxa"/>
            <w:tcBorders>
              <w:top w:val="nil"/>
              <w:left w:val="nil"/>
              <w:bottom w:val="single" w:sz="4" w:space="0" w:color="auto"/>
              <w:right w:val="single" w:sz="4" w:space="0" w:color="auto"/>
            </w:tcBorders>
            <w:shd w:val="clear" w:color="auto" w:fill="auto"/>
            <w:noWrap/>
            <w:vAlign w:val="center"/>
            <w:hideMark/>
          </w:tcPr>
          <w:p w14:paraId="63F4F7E2" w14:textId="182A5B7A" w:rsidR="001F70D1" w:rsidRPr="003F27A6" w:rsidRDefault="00095B74" w:rsidP="000E6045">
            <w:pPr>
              <w:jc w:val="center"/>
              <w:rPr>
                <w:szCs w:val="24"/>
                <w:lang w:eastAsia="lt-LT"/>
              </w:rPr>
            </w:pPr>
            <w:r w:rsidRPr="003F27A6">
              <w:rPr>
                <w:szCs w:val="24"/>
                <w:lang w:eastAsia="lt-LT"/>
              </w:rPr>
              <w:t>4 </w:t>
            </w:r>
            <w:r w:rsidR="00BF5B27" w:rsidRPr="003F27A6">
              <w:rPr>
                <w:szCs w:val="24"/>
                <w:lang w:eastAsia="lt-LT"/>
              </w:rPr>
              <w:t>8</w:t>
            </w:r>
            <w:r w:rsidRPr="003F27A6">
              <w:rPr>
                <w:szCs w:val="24"/>
                <w:lang w:eastAsia="lt-LT"/>
              </w:rPr>
              <w:t>00 000</w:t>
            </w:r>
          </w:p>
        </w:tc>
        <w:tc>
          <w:tcPr>
            <w:tcW w:w="1487" w:type="dxa"/>
            <w:vMerge w:val="restart"/>
            <w:tcBorders>
              <w:top w:val="nil"/>
              <w:left w:val="nil"/>
              <w:right w:val="single" w:sz="4" w:space="0" w:color="auto"/>
            </w:tcBorders>
            <w:shd w:val="clear" w:color="auto" w:fill="FFFFFF" w:themeFill="background1"/>
            <w:noWrap/>
            <w:vAlign w:val="center"/>
            <w:hideMark/>
          </w:tcPr>
          <w:p w14:paraId="2E019056" w14:textId="0428244F" w:rsidR="001F70D1" w:rsidRPr="00096768" w:rsidRDefault="00156964" w:rsidP="00922A98">
            <w:pPr>
              <w:jc w:val="center"/>
              <w:rPr>
                <w:szCs w:val="24"/>
                <w:lang w:eastAsia="lt-LT"/>
              </w:rPr>
            </w:pPr>
            <w:r w:rsidRPr="00096768">
              <w:rPr>
                <w:szCs w:val="24"/>
                <w:lang w:eastAsia="lt-LT"/>
              </w:rPr>
              <w:t>19</w:t>
            </w:r>
          </w:p>
        </w:tc>
        <w:tc>
          <w:tcPr>
            <w:tcW w:w="967" w:type="dxa"/>
            <w:vMerge w:val="restart"/>
            <w:tcBorders>
              <w:top w:val="nil"/>
              <w:left w:val="nil"/>
              <w:right w:val="single" w:sz="4" w:space="0" w:color="auto"/>
            </w:tcBorders>
            <w:shd w:val="clear" w:color="auto" w:fill="auto"/>
            <w:noWrap/>
            <w:vAlign w:val="center"/>
            <w:hideMark/>
          </w:tcPr>
          <w:p w14:paraId="0D0B0DAF" w14:textId="3D8B193C" w:rsidR="001F70D1" w:rsidRPr="00096768" w:rsidRDefault="001F70D1" w:rsidP="00156964">
            <w:pPr>
              <w:jc w:val="center"/>
              <w:rPr>
                <w:szCs w:val="24"/>
                <w:lang w:eastAsia="lt-LT"/>
              </w:rPr>
            </w:pPr>
            <w:r w:rsidRPr="00096768">
              <w:rPr>
                <w:szCs w:val="24"/>
                <w:lang w:eastAsia="lt-LT"/>
              </w:rPr>
              <w:t xml:space="preserve">CR </w:t>
            </w:r>
            <w:r w:rsidR="00156964" w:rsidRPr="00096768">
              <w:rPr>
                <w:szCs w:val="24"/>
                <w:lang w:eastAsia="lt-LT"/>
              </w:rPr>
              <w:t>09</w:t>
            </w:r>
          </w:p>
        </w:tc>
        <w:tc>
          <w:tcPr>
            <w:tcW w:w="917" w:type="dxa"/>
            <w:vMerge w:val="restart"/>
            <w:tcBorders>
              <w:top w:val="nil"/>
              <w:left w:val="nil"/>
              <w:right w:val="single" w:sz="4" w:space="0" w:color="auto"/>
            </w:tcBorders>
            <w:shd w:val="clear" w:color="auto" w:fill="auto"/>
            <w:noWrap/>
            <w:vAlign w:val="center"/>
            <w:hideMark/>
          </w:tcPr>
          <w:p w14:paraId="7C18AF43" w14:textId="2651B338" w:rsidR="001F70D1" w:rsidRPr="00096768" w:rsidRDefault="00156964" w:rsidP="00922A98">
            <w:pPr>
              <w:jc w:val="center"/>
              <w:rPr>
                <w:szCs w:val="24"/>
                <w:lang w:eastAsia="lt-LT"/>
              </w:rPr>
            </w:pPr>
            <w:r w:rsidRPr="00096768">
              <w:rPr>
                <w:szCs w:val="24"/>
                <w:lang w:eastAsia="lt-LT"/>
              </w:rPr>
              <w:t>100</w:t>
            </w:r>
          </w:p>
        </w:tc>
      </w:tr>
      <w:tr w:rsidR="00096768" w:rsidRPr="00096768" w14:paraId="733BC5EC" w14:textId="77777777" w:rsidTr="003F27A6">
        <w:trPr>
          <w:trHeight w:val="1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F0FE96" w14:textId="77777777" w:rsidR="001F70D1" w:rsidRPr="00096768" w:rsidRDefault="001F70D1" w:rsidP="00922A98">
            <w:pPr>
              <w:jc w:val="center"/>
              <w:rPr>
                <w:szCs w:val="24"/>
                <w:lang w:eastAsia="lt-LT"/>
              </w:rPr>
            </w:pPr>
            <w:r w:rsidRPr="00096768">
              <w:rPr>
                <w:szCs w:val="24"/>
                <w:lang w:eastAsia="lt-LT"/>
              </w:rPr>
              <w:t>2</w:t>
            </w:r>
          </w:p>
        </w:tc>
        <w:tc>
          <w:tcPr>
            <w:tcW w:w="9106" w:type="dxa"/>
            <w:tcBorders>
              <w:top w:val="nil"/>
              <w:left w:val="nil"/>
              <w:bottom w:val="single" w:sz="4" w:space="0" w:color="auto"/>
              <w:right w:val="single" w:sz="4" w:space="0" w:color="auto"/>
            </w:tcBorders>
            <w:shd w:val="clear" w:color="auto" w:fill="auto"/>
            <w:noWrap/>
            <w:hideMark/>
          </w:tcPr>
          <w:p w14:paraId="5063B0BC" w14:textId="7EB0F7FC" w:rsidR="001F70D1" w:rsidRPr="00096768" w:rsidRDefault="001F70D1" w:rsidP="00922A98">
            <w:pPr>
              <w:rPr>
                <w:szCs w:val="24"/>
                <w:lang w:eastAsia="lt-LT"/>
              </w:rPr>
            </w:pPr>
            <w:r w:rsidRPr="00096768">
              <w:rPr>
                <w:szCs w:val="24"/>
              </w:rPr>
              <w:t>Papildomos išlaidos ir negautos pajamos dėl paukščių daromos žalos</w:t>
            </w:r>
          </w:p>
        </w:tc>
        <w:tc>
          <w:tcPr>
            <w:tcW w:w="1727" w:type="dxa"/>
            <w:tcBorders>
              <w:top w:val="nil"/>
              <w:left w:val="nil"/>
              <w:bottom w:val="single" w:sz="4" w:space="0" w:color="auto"/>
              <w:right w:val="single" w:sz="4" w:space="0" w:color="auto"/>
            </w:tcBorders>
            <w:shd w:val="clear" w:color="auto" w:fill="auto"/>
            <w:noWrap/>
            <w:vAlign w:val="center"/>
            <w:hideMark/>
          </w:tcPr>
          <w:p w14:paraId="1B7FFA09" w14:textId="136B4D8D" w:rsidR="001F70D1" w:rsidRPr="003F27A6" w:rsidRDefault="00BF5B27" w:rsidP="00922A98">
            <w:pPr>
              <w:jc w:val="center"/>
              <w:rPr>
                <w:szCs w:val="24"/>
                <w:lang w:eastAsia="lt-LT"/>
              </w:rPr>
            </w:pPr>
            <w:r w:rsidRPr="003F27A6">
              <w:rPr>
                <w:szCs w:val="24"/>
                <w:lang w:eastAsia="lt-LT"/>
              </w:rPr>
              <w:t>3 7</w:t>
            </w:r>
            <w:r w:rsidR="00095B74" w:rsidRPr="003F27A6">
              <w:rPr>
                <w:szCs w:val="24"/>
                <w:lang w:eastAsia="lt-LT"/>
              </w:rPr>
              <w:t xml:space="preserve">00 </w:t>
            </w:r>
            <w:r w:rsidR="001F70D1" w:rsidRPr="003F27A6">
              <w:rPr>
                <w:szCs w:val="24"/>
                <w:lang w:eastAsia="lt-LT"/>
              </w:rPr>
              <w:t>000</w:t>
            </w:r>
          </w:p>
        </w:tc>
        <w:tc>
          <w:tcPr>
            <w:tcW w:w="1487" w:type="dxa"/>
            <w:vMerge/>
            <w:tcBorders>
              <w:left w:val="nil"/>
              <w:bottom w:val="single" w:sz="4" w:space="0" w:color="auto"/>
              <w:right w:val="single" w:sz="4" w:space="0" w:color="auto"/>
            </w:tcBorders>
            <w:shd w:val="clear" w:color="auto" w:fill="FFFFFF" w:themeFill="background1"/>
            <w:noWrap/>
            <w:vAlign w:val="center"/>
            <w:hideMark/>
          </w:tcPr>
          <w:p w14:paraId="0651ACD5" w14:textId="2D211AB9" w:rsidR="001F70D1" w:rsidRPr="00096768" w:rsidRDefault="001F70D1" w:rsidP="00922A98">
            <w:pPr>
              <w:jc w:val="center"/>
              <w:rPr>
                <w:szCs w:val="24"/>
                <w:lang w:eastAsia="lt-LT"/>
              </w:rPr>
            </w:pPr>
          </w:p>
        </w:tc>
        <w:tc>
          <w:tcPr>
            <w:tcW w:w="967" w:type="dxa"/>
            <w:vMerge/>
            <w:tcBorders>
              <w:left w:val="nil"/>
              <w:bottom w:val="single" w:sz="4" w:space="0" w:color="auto"/>
              <w:right w:val="single" w:sz="4" w:space="0" w:color="auto"/>
            </w:tcBorders>
            <w:shd w:val="clear" w:color="auto" w:fill="auto"/>
            <w:noWrap/>
            <w:vAlign w:val="center"/>
            <w:hideMark/>
          </w:tcPr>
          <w:p w14:paraId="06601577" w14:textId="755D9776" w:rsidR="001F70D1" w:rsidRPr="00096768" w:rsidRDefault="001F70D1" w:rsidP="00922A98">
            <w:pPr>
              <w:jc w:val="center"/>
              <w:rPr>
                <w:szCs w:val="24"/>
                <w:lang w:eastAsia="lt-LT"/>
              </w:rPr>
            </w:pPr>
          </w:p>
        </w:tc>
        <w:tc>
          <w:tcPr>
            <w:tcW w:w="917" w:type="dxa"/>
            <w:vMerge/>
            <w:tcBorders>
              <w:left w:val="nil"/>
              <w:bottom w:val="single" w:sz="4" w:space="0" w:color="auto"/>
              <w:right w:val="single" w:sz="4" w:space="0" w:color="auto"/>
            </w:tcBorders>
            <w:shd w:val="clear" w:color="auto" w:fill="auto"/>
            <w:noWrap/>
            <w:vAlign w:val="center"/>
            <w:hideMark/>
          </w:tcPr>
          <w:p w14:paraId="2F241E8B" w14:textId="678B8736" w:rsidR="001F70D1" w:rsidRPr="00096768" w:rsidRDefault="001F70D1" w:rsidP="00922A98">
            <w:pPr>
              <w:jc w:val="center"/>
              <w:rPr>
                <w:szCs w:val="24"/>
                <w:lang w:eastAsia="lt-LT"/>
              </w:rPr>
            </w:pPr>
          </w:p>
        </w:tc>
      </w:tr>
    </w:tbl>
    <w:p w14:paraId="0B70044B" w14:textId="5AE2412D" w:rsidR="00D36DCF" w:rsidRDefault="00D36DCF" w:rsidP="00D36DCF">
      <w:pPr>
        <w:widowControl w:val="0"/>
        <w:spacing w:line="360" w:lineRule="auto"/>
        <w:jc w:val="both"/>
        <w:textAlignment w:val="baseline"/>
        <w:rPr>
          <w:szCs w:val="24"/>
        </w:rPr>
      </w:pPr>
    </w:p>
    <w:p w14:paraId="32B6C722" w14:textId="2F33A9F1" w:rsidR="00156964" w:rsidRPr="00096768" w:rsidRDefault="003F27A6" w:rsidP="00A4376A">
      <w:pPr>
        <w:widowControl w:val="0"/>
        <w:spacing w:line="360" w:lineRule="auto"/>
        <w:jc w:val="both"/>
        <w:textAlignment w:val="baseline"/>
        <w:rPr>
          <w:szCs w:val="24"/>
        </w:rPr>
      </w:pPr>
      <w:r>
        <w:rPr>
          <w:szCs w:val="24"/>
        </w:rPr>
        <w:t>P</w:t>
      </w:r>
      <w:r w:rsidRPr="003F27A6">
        <w:rPr>
          <w:szCs w:val="24"/>
        </w:rPr>
        <w:t>riemonei taikomas kompensacijų atrankos būdas</w:t>
      </w:r>
      <w:r>
        <w:rPr>
          <w:szCs w:val="24"/>
        </w:rPr>
        <w:t>, todėl p</w:t>
      </w:r>
      <w:r w:rsidRPr="003F27A6">
        <w:rPr>
          <w:szCs w:val="24"/>
        </w:rPr>
        <w:t>rioritetiniai kriterijai nenustatomi</w:t>
      </w:r>
      <w:r>
        <w:rPr>
          <w:szCs w:val="24"/>
        </w:rPr>
        <w:t xml:space="preserve">. Jei atitinkamais metais apskaičiuota bendra paramos suma visiems paramos gavėjams viršys tais metais numatytą paskirstyti pramos sumą, išmokama parama bus proporcingai mažinama visiems paramos gavėjams. </w:t>
      </w:r>
    </w:p>
    <w:sectPr w:rsidR="00156964" w:rsidRPr="00096768" w:rsidSect="00BB6D79">
      <w:pgSz w:w="16838" w:h="11906" w:orient="landscape" w:code="9"/>
      <w:pgMar w:top="709"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2707" w14:textId="77777777" w:rsidR="008E631A" w:rsidRDefault="008E631A" w:rsidP="006B3420">
      <w:r>
        <w:separator/>
      </w:r>
    </w:p>
  </w:endnote>
  <w:endnote w:type="continuationSeparator" w:id="0">
    <w:p w14:paraId="46D082C3" w14:textId="77777777" w:rsidR="008E631A" w:rsidRDefault="008E631A" w:rsidP="006B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C288" w14:textId="77777777" w:rsidR="008E631A" w:rsidRDefault="008E631A" w:rsidP="006B3420">
      <w:r>
        <w:separator/>
      </w:r>
    </w:p>
  </w:footnote>
  <w:footnote w:type="continuationSeparator" w:id="0">
    <w:p w14:paraId="113BA521" w14:textId="77777777" w:rsidR="008E631A" w:rsidRDefault="008E631A" w:rsidP="006B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4.25pt;height:14.25pt" o:bullet="t">
        <v:imagedata r:id="rId1" o:title="msoA787"/>
      </v:shape>
    </w:pict>
  </w:numPicBullet>
  <w:abstractNum w:abstractNumId="0" w15:restartNumberingAfterBreak="0">
    <w:nsid w:val="2EA41562"/>
    <w:multiLevelType w:val="hybridMultilevel"/>
    <w:tmpl w:val="FA90E8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77194B"/>
    <w:multiLevelType w:val="hybridMultilevel"/>
    <w:tmpl w:val="118C7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C2092B"/>
    <w:multiLevelType w:val="hybridMultilevel"/>
    <w:tmpl w:val="A9A8379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 w15:restartNumberingAfterBreak="0">
    <w:nsid w:val="50307898"/>
    <w:multiLevelType w:val="multilevel"/>
    <w:tmpl w:val="5242233E"/>
    <w:lvl w:ilvl="0">
      <w:start w:val="3"/>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strike w:val="0"/>
        <w:color w:val="auto"/>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58340FCA"/>
    <w:multiLevelType w:val="hybridMultilevel"/>
    <w:tmpl w:val="71DC84FA"/>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FA2CFF"/>
    <w:multiLevelType w:val="hybridMultilevel"/>
    <w:tmpl w:val="8F40156A"/>
    <w:lvl w:ilvl="0" w:tplc="31CCEFBC">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A696C97"/>
    <w:multiLevelType w:val="hybridMultilevel"/>
    <w:tmpl w:val="2730BD7C"/>
    <w:lvl w:ilvl="0" w:tplc="04270007">
      <w:start w:val="1"/>
      <w:numFmt w:val="bullet"/>
      <w:lvlText w:val=""/>
      <w:lvlPicBulletId w:val="0"/>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E7C3242"/>
    <w:multiLevelType w:val="hybridMultilevel"/>
    <w:tmpl w:val="92A6754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9299460">
    <w:abstractNumId w:val="4"/>
  </w:num>
  <w:num w:numId="2" w16cid:durableId="182207385">
    <w:abstractNumId w:val="3"/>
  </w:num>
  <w:num w:numId="3" w16cid:durableId="1551459984">
    <w:abstractNumId w:val="7"/>
  </w:num>
  <w:num w:numId="4" w16cid:durableId="1822193675">
    <w:abstractNumId w:val="0"/>
  </w:num>
  <w:num w:numId="5" w16cid:durableId="1605570104">
    <w:abstractNumId w:val="5"/>
  </w:num>
  <w:num w:numId="6" w16cid:durableId="884291087">
    <w:abstractNumId w:val="6"/>
  </w:num>
  <w:num w:numId="7" w16cid:durableId="2140024712">
    <w:abstractNumId w:val="2"/>
  </w:num>
  <w:num w:numId="8" w16cid:durableId="157235274">
    <w:abstractNumId w:val="1"/>
  </w:num>
  <w:num w:numId="9" w16cid:durableId="221671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C87"/>
    <w:rsid w:val="000107F4"/>
    <w:rsid w:val="0002367A"/>
    <w:rsid w:val="00037B5F"/>
    <w:rsid w:val="00042930"/>
    <w:rsid w:val="00060F9D"/>
    <w:rsid w:val="000620FE"/>
    <w:rsid w:val="00083837"/>
    <w:rsid w:val="00095B74"/>
    <w:rsid w:val="00096768"/>
    <w:rsid w:val="000A21ED"/>
    <w:rsid w:val="000A24D0"/>
    <w:rsid w:val="000B1D46"/>
    <w:rsid w:val="000B7BB6"/>
    <w:rsid w:val="000C7597"/>
    <w:rsid w:val="000C7BF7"/>
    <w:rsid w:val="000D2DCE"/>
    <w:rsid w:val="000D507A"/>
    <w:rsid w:val="000E4A3B"/>
    <w:rsid w:val="000E6045"/>
    <w:rsid w:val="000F2C7C"/>
    <w:rsid w:val="001031DF"/>
    <w:rsid w:val="00123923"/>
    <w:rsid w:val="0015517E"/>
    <w:rsid w:val="00156964"/>
    <w:rsid w:val="001610A1"/>
    <w:rsid w:val="00177FD7"/>
    <w:rsid w:val="00182AA3"/>
    <w:rsid w:val="001A162A"/>
    <w:rsid w:val="001A7B80"/>
    <w:rsid w:val="001B0674"/>
    <w:rsid w:val="001C09FA"/>
    <w:rsid w:val="001C4DF3"/>
    <w:rsid w:val="001D49EB"/>
    <w:rsid w:val="001D589D"/>
    <w:rsid w:val="001E17BD"/>
    <w:rsid w:val="001F26C5"/>
    <w:rsid w:val="001F70D1"/>
    <w:rsid w:val="002005F5"/>
    <w:rsid w:val="00201CDB"/>
    <w:rsid w:val="002175B0"/>
    <w:rsid w:val="0023518A"/>
    <w:rsid w:val="00235CEB"/>
    <w:rsid w:val="002375B1"/>
    <w:rsid w:val="0025321A"/>
    <w:rsid w:val="002614E6"/>
    <w:rsid w:val="002B158D"/>
    <w:rsid w:val="002C2F72"/>
    <w:rsid w:val="002D0700"/>
    <w:rsid w:val="002D4D0B"/>
    <w:rsid w:val="002E04EA"/>
    <w:rsid w:val="002E1AD4"/>
    <w:rsid w:val="0030452E"/>
    <w:rsid w:val="00304BD6"/>
    <w:rsid w:val="00312F2F"/>
    <w:rsid w:val="00330C57"/>
    <w:rsid w:val="00356851"/>
    <w:rsid w:val="00367557"/>
    <w:rsid w:val="00371BB7"/>
    <w:rsid w:val="003750A8"/>
    <w:rsid w:val="003A4EC6"/>
    <w:rsid w:val="003B1514"/>
    <w:rsid w:val="003B6F24"/>
    <w:rsid w:val="003C6A19"/>
    <w:rsid w:val="003D2A4F"/>
    <w:rsid w:val="003D2EEF"/>
    <w:rsid w:val="003E307F"/>
    <w:rsid w:val="003F27A6"/>
    <w:rsid w:val="003F3A63"/>
    <w:rsid w:val="00400222"/>
    <w:rsid w:val="00412CFB"/>
    <w:rsid w:val="004259F5"/>
    <w:rsid w:val="00437611"/>
    <w:rsid w:val="0046014B"/>
    <w:rsid w:val="00461E79"/>
    <w:rsid w:val="00464D90"/>
    <w:rsid w:val="00476F8B"/>
    <w:rsid w:val="00492D0F"/>
    <w:rsid w:val="00495A02"/>
    <w:rsid w:val="004C7D1D"/>
    <w:rsid w:val="004E12A8"/>
    <w:rsid w:val="004E4ABD"/>
    <w:rsid w:val="005048EE"/>
    <w:rsid w:val="00506F01"/>
    <w:rsid w:val="00510CF2"/>
    <w:rsid w:val="00524DB8"/>
    <w:rsid w:val="00535C36"/>
    <w:rsid w:val="00543FB7"/>
    <w:rsid w:val="00567BDA"/>
    <w:rsid w:val="005761EC"/>
    <w:rsid w:val="00590086"/>
    <w:rsid w:val="005A08F8"/>
    <w:rsid w:val="005B11E3"/>
    <w:rsid w:val="005B1817"/>
    <w:rsid w:val="005E1933"/>
    <w:rsid w:val="005E2165"/>
    <w:rsid w:val="005F132D"/>
    <w:rsid w:val="0064157E"/>
    <w:rsid w:val="00641D3A"/>
    <w:rsid w:val="00654FE8"/>
    <w:rsid w:val="00682917"/>
    <w:rsid w:val="00683E37"/>
    <w:rsid w:val="0069091F"/>
    <w:rsid w:val="006918A8"/>
    <w:rsid w:val="0069198D"/>
    <w:rsid w:val="00691C3E"/>
    <w:rsid w:val="006A42A1"/>
    <w:rsid w:val="006B3420"/>
    <w:rsid w:val="006C157C"/>
    <w:rsid w:val="006C1C6A"/>
    <w:rsid w:val="006D5620"/>
    <w:rsid w:val="006E154F"/>
    <w:rsid w:val="006E4D3B"/>
    <w:rsid w:val="006F5F9B"/>
    <w:rsid w:val="00703C04"/>
    <w:rsid w:val="0073446B"/>
    <w:rsid w:val="00752DCF"/>
    <w:rsid w:val="007A462E"/>
    <w:rsid w:val="007B251B"/>
    <w:rsid w:val="007E4898"/>
    <w:rsid w:val="007E7D3A"/>
    <w:rsid w:val="007F027A"/>
    <w:rsid w:val="00802134"/>
    <w:rsid w:val="00831EF7"/>
    <w:rsid w:val="008539E8"/>
    <w:rsid w:val="008776D3"/>
    <w:rsid w:val="00877B12"/>
    <w:rsid w:val="00880F45"/>
    <w:rsid w:val="00891A9A"/>
    <w:rsid w:val="00893994"/>
    <w:rsid w:val="008A20E4"/>
    <w:rsid w:val="008A5FF9"/>
    <w:rsid w:val="008C7109"/>
    <w:rsid w:val="008C7BB1"/>
    <w:rsid w:val="008D6F58"/>
    <w:rsid w:val="008D73CC"/>
    <w:rsid w:val="008E491C"/>
    <w:rsid w:val="008E631A"/>
    <w:rsid w:val="008E7E18"/>
    <w:rsid w:val="008E7EEA"/>
    <w:rsid w:val="008F7F65"/>
    <w:rsid w:val="00903D7A"/>
    <w:rsid w:val="00922A98"/>
    <w:rsid w:val="0092402E"/>
    <w:rsid w:val="0093238A"/>
    <w:rsid w:val="00951525"/>
    <w:rsid w:val="00952B12"/>
    <w:rsid w:val="00973EBC"/>
    <w:rsid w:val="009821AE"/>
    <w:rsid w:val="009931F3"/>
    <w:rsid w:val="009A0A3E"/>
    <w:rsid w:val="009F6867"/>
    <w:rsid w:val="009F7FB2"/>
    <w:rsid w:val="00A01381"/>
    <w:rsid w:val="00A04E00"/>
    <w:rsid w:val="00A05E3E"/>
    <w:rsid w:val="00A10191"/>
    <w:rsid w:val="00A14485"/>
    <w:rsid w:val="00A3071E"/>
    <w:rsid w:val="00A4376A"/>
    <w:rsid w:val="00A5420A"/>
    <w:rsid w:val="00A84F13"/>
    <w:rsid w:val="00AA2E81"/>
    <w:rsid w:val="00AD2A27"/>
    <w:rsid w:val="00AE3678"/>
    <w:rsid w:val="00AE3700"/>
    <w:rsid w:val="00AF552D"/>
    <w:rsid w:val="00B021C0"/>
    <w:rsid w:val="00B167DD"/>
    <w:rsid w:val="00B16A7E"/>
    <w:rsid w:val="00B321D1"/>
    <w:rsid w:val="00B32533"/>
    <w:rsid w:val="00B415E1"/>
    <w:rsid w:val="00B548E0"/>
    <w:rsid w:val="00B55588"/>
    <w:rsid w:val="00B57E06"/>
    <w:rsid w:val="00B629E3"/>
    <w:rsid w:val="00B67CA4"/>
    <w:rsid w:val="00B871F9"/>
    <w:rsid w:val="00B8777C"/>
    <w:rsid w:val="00B93DDA"/>
    <w:rsid w:val="00BA6B23"/>
    <w:rsid w:val="00BB6D79"/>
    <w:rsid w:val="00BB7E5D"/>
    <w:rsid w:val="00BC42B8"/>
    <w:rsid w:val="00BE670D"/>
    <w:rsid w:val="00BF0529"/>
    <w:rsid w:val="00BF3B52"/>
    <w:rsid w:val="00BF58FF"/>
    <w:rsid w:val="00BF5B27"/>
    <w:rsid w:val="00BF61F2"/>
    <w:rsid w:val="00C03EEC"/>
    <w:rsid w:val="00C31271"/>
    <w:rsid w:val="00C724FA"/>
    <w:rsid w:val="00C7294A"/>
    <w:rsid w:val="00C74C68"/>
    <w:rsid w:val="00CA12AA"/>
    <w:rsid w:val="00CA48F9"/>
    <w:rsid w:val="00CB2EE9"/>
    <w:rsid w:val="00CD29BB"/>
    <w:rsid w:val="00CD3A01"/>
    <w:rsid w:val="00CE3781"/>
    <w:rsid w:val="00CE3815"/>
    <w:rsid w:val="00CE4245"/>
    <w:rsid w:val="00CE496F"/>
    <w:rsid w:val="00CF282A"/>
    <w:rsid w:val="00D2015F"/>
    <w:rsid w:val="00D27B81"/>
    <w:rsid w:val="00D36DCF"/>
    <w:rsid w:val="00D41E4E"/>
    <w:rsid w:val="00D56283"/>
    <w:rsid w:val="00D9200C"/>
    <w:rsid w:val="00DB49C5"/>
    <w:rsid w:val="00DC26D4"/>
    <w:rsid w:val="00DC771F"/>
    <w:rsid w:val="00DD511B"/>
    <w:rsid w:val="00DE1A6A"/>
    <w:rsid w:val="00DF2F6F"/>
    <w:rsid w:val="00E01A64"/>
    <w:rsid w:val="00E10F96"/>
    <w:rsid w:val="00E17ECA"/>
    <w:rsid w:val="00E2036A"/>
    <w:rsid w:val="00E2160F"/>
    <w:rsid w:val="00E23C48"/>
    <w:rsid w:val="00E373A4"/>
    <w:rsid w:val="00E404A9"/>
    <w:rsid w:val="00E43D65"/>
    <w:rsid w:val="00E50740"/>
    <w:rsid w:val="00E50B60"/>
    <w:rsid w:val="00E67395"/>
    <w:rsid w:val="00E8060D"/>
    <w:rsid w:val="00E87648"/>
    <w:rsid w:val="00EB1D35"/>
    <w:rsid w:val="00EB70EE"/>
    <w:rsid w:val="00EC0C32"/>
    <w:rsid w:val="00EC6935"/>
    <w:rsid w:val="00ED4C0F"/>
    <w:rsid w:val="00EE3026"/>
    <w:rsid w:val="00EE6872"/>
    <w:rsid w:val="00EF0070"/>
    <w:rsid w:val="00EF7E9B"/>
    <w:rsid w:val="00F45041"/>
    <w:rsid w:val="00F458A5"/>
    <w:rsid w:val="00F61ECD"/>
    <w:rsid w:val="00F73767"/>
    <w:rsid w:val="00F85313"/>
    <w:rsid w:val="00FA1F9A"/>
    <w:rsid w:val="00FB4957"/>
    <w:rsid w:val="00FB5093"/>
    <w:rsid w:val="00FB60CC"/>
    <w:rsid w:val="00FC5932"/>
    <w:rsid w:val="00FD4342"/>
    <w:rsid w:val="00FE3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8B55C32-F7B9-4EC5-9E05-0ECB52D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71BB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71BB7"/>
    <w:rPr>
      <w:rFonts w:asciiTheme="minorHAnsi" w:eastAsiaTheme="minorHAnsi" w:hAnsiTheme="minorHAnsi" w:cstheme="minorBidi"/>
      <w:sz w:val="22"/>
      <w:szCs w:val="22"/>
    </w:rPr>
  </w:style>
  <w:style w:type="paragraph" w:customStyle="1" w:styleId="Turtovaldytojas">
    <w:name w:val="Turto valdytojas"/>
    <w:basedOn w:val="prastasis"/>
    <w:rsid w:val="000E4A3B"/>
    <w:pPr>
      <w:spacing w:before="240" w:after="240"/>
    </w:pPr>
    <w:rPr>
      <w:b/>
      <w:szCs w:val="24"/>
      <w:lang w:eastAsia="lt-LT"/>
    </w:rPr>
  </w:style>
  <w:style w:type="paragraph" w:styleId="Puslapioinaostekstas">
    <w:name w:val="footnote text"/>
    <w:basedOn w:val="prastasis"/>
    <w:link w:val="PuslapioinaostekstasDiagrama"/>
    <w:semiHidden/>
    <w:unhideWhenUsed/>
    <w:rsid w:val="006B3420"/>
    <w:rPr>
      <w:sz w:val="20"/>
    </w:rPr>
  </w:style>
  <w:style w:type="character" w:customStyle="1" w:styleId="PuslapioinaostekstasDiagrama">
    <w:name w:val="Puslapio išnašos tekstas Diagrama"/>
    <w:basedOn w:val="Numatytasispastraiposriftas"/>
    <w:link w:val="Puslapioinaostekstas"/>
    <w:semiHidden/>
    <w:rsid w:val="006B3420"/>
    <w:rPr>
      <w:sz w:val="20"/>
    </w:rPr>
  </w:style>
  <w:style w:type="character" w:styleId="Puslapioinaosnuoroda">
    <w:name w:val="footnote reference"/>
    <w:basedOn w:val="Numatytasispastraiposriftas"/>
    <w:semiHidden/>
    <w:unhideWhenUsed/>
    <w:rsid w:val="006B3420"/>
    <w:rPr>
      <w:vertAlign w:val="superscript"/>
    </w:rPr>
  </w:style>
  <w:style w:type="character" w:styleId="Hipersaitas">
    <w:name w:val="Hyperlink"/>
    <w:basedOn w:val="Numatytasispastraiposriftas"/>
    <w:uiPriority w:val="99"/>
    <w:semiHidden/>
    <w:unhideWhenUsed/>
    <w:rsid w:val="006B3420"/>
    <w:rPr>
      <w:color w:val="0000FF"/>
      <w:u w:val="single"/>
    </w:rPr>
  </w:style>
  <w:style w:type="character" w:styleId="Komentaronuoroda">
    <w:name w:val="annotation reference"/>
    <w:basedOn w:val="Numatytasispastraiposriftas"/>
    <w:semiHidden/>
    <w:unhideWhenUsed/>
    <w:rsid w:val="008C7BB1"/>
    <w:rPr>
      <w:sz w:val="16"/>
      <w:szCs w:val="16"/>
    </w:rPr>
  </w:style>
  <w:style w:type="paragraph" w:styleId="Komentarotekstas">
    <w:name w:val="annotation text"/>
    <w:basedOn w:val="prastasis"/>
    <w:link w:val="KomentarotekstasDiagrama"/>
    <w:unhideWhenUsed/>
    <w:rsid w:val="008C7BB1"/>
    <w:rPr>
      <w:sz w:val="20"/>
    </w:rPr>
  </w:style>
  <w:style w:type="character" w:customStyle="1" w:styleId="KomentarotekstasDiagrama">
    <w:name w:val="Komentaro tekstas Diagrama"/>
    <w:basedOn w:val="Numatytasispastraiposriftas"/>
    <w:link w:val="Komentarotekstas"/>
    <w:rsid w:val="008C7BB1"/>
    <w:rPr>
      <w:sz w:val="20"/>
    </w:rPr>
  </w:style>
  <w:style w:type="paragraph" w:styleId="Komentarotema">
    <w:name w:val="annotation subject"/>
    <w:basedOn w:val="Komentarotekstas"/>
    <w:next w:val="Komentarotekstas"/>
    <w:link w:val="KomentarotemaDiagrama"/>
    <w:semiHidden/>
    <w:unhideWhenUsed/>
    <w:rsid w:val="008C7BB1"/>
    <w:rPr>
      <w:b/>
      <w:bCs/>
    </w:rPr>
  </w:style>
  <w:style w:type="character" w:customStyle="1" w:styleId="KomentarotemaDiagrama">
    <w:name w:val="Komentaro tema Diagrama"/>
    <w:basedOn w:val="KomentarotekstasDiagrama"/>
    <w:link w:val="Komentarotema"/>
    <w:semiHidden/>
    <w:rsid w:val="008C7BB1"/>
    <w:rPr>
      <w:b/>
      <w:bCs/>
      <w:sz w:val="20"/>
    </w:rPr>
  </w:style>
  <w:style w:type="paragraph" w:styleId="Debesliotekstas">
    <w:name w:val="Balloon Text"/>
    <w:basedOn w:val="prastasis"/>
    <w:link w:val="DebesliotekstasDiagrama"/>
    <w:semiHidden/>
    <w:unhideWhenUsed/>
    <w:rsid w:val="008C7B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7BB1"/>
    <w:rPr>
      <w:rFonts w:ascii="Tahoma" w:hAnsi="Tahoma" w:cs="Tahoma"/>
      <w:sz w:val="16"/>
      <w:szCs w:val="16"/>
    </w:rPr>
  </w:style>
  <w:style w:type="character" w:styleId="Perirtashipersaitas">
    <w:name w:val="FollowedHyperlink"/>
    <w:basedOn w:val="Numatytasispastraiposriftas"/>
    <w:semiHidden/>
    <w:unhideWhenUsed/>
    <w:rsid w:val="0023518A"/>
    <w:rPr>
      <w:color w:val="800080" w:themeColor="followedHyperlink"/>
      <w:u w:val="single"/>
    </w:rPr>
  </w:style>
  <w:style w:type="paragraph" w:styleId="Pataisymai">
    <w:name w:val="Revision"/>
    <w:hidden/>
    <w:semiHidden/>
    <w:rsid w:val="001C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57405">
      <w:bodyDiv w:val="1"/>
      <w:marLeft w:val="0"/>
      <w:marRight w:val="0"/>
      <w:marTop w:val="0"/>
      <w:marBottom w:val="0"/>
      <w:divBdr>
        <w:top w:val="none" w:sz="0" w:space="0" w:color="auto"/>
        <w:left w:val="none" w:sz="0" w:space="0" w:color="auto"/>
        <w:bottom w:val="none" w:sz="0" w:space="0" w:color="auto"/>
        <w:right w:val="none" w:sz="0" w:space="0" w:color="auto"/>
      </w:divBdr>
    </w:div>
    <w:div w:id="1159033367">
      <w:bodyDiv w:val="1"/>
      <w:marLeft w:val="0"/>
      <w:marRight w:val="0"/>
      <w:marTop w:val="0"/>
      <w:marBottom w:val="0"/>
      <w:divBdr>
        <w:top w:val="none" w:sz="0" w:space="0" w:color="auto"/>
        <w:left w:val="none" w:sz="0" w:space="0" w:color="auto"/>
        <w:bottom w:val="none" w:sz="0" w:space="0" w:color="auto"/>
        <w:right w:val="none" w:sz="0" w:space="0" w:color="auto"/>
      </w:divBdr>
    </w:div>
    <w:div w:id="1319262589">
      <w:bodyDiv w:val="1"/>
      <w:marLeft w:val="0"/>
      <w:marRight w:val="0"/>
      <w:marTop w:val="0"/>
      <w:marBottom w:val="0"/>
      <w:divBdr>
        <w:top w:val="none" w:sz="0" w:space="0" w:color="auto"/>
        <w:left w:val="none" w:sz="0" w:space="0" w:color="auto"/>
        <w:bottom w:val="none" w:sz="0" w:space="0" w:color="auto"/>
        <w:right w:val="none" w:sz="0" w:space="0" w:color="auto"/>
      </w:divBdr>
    </w:div>
    <w:div w:id="1697467540">
      <w:bodyDiv w:val="1"/>
      <w:marLeft w:val="0"/>
      <w:marRight w:val="0"/>
      <w:marTop w:val="0"/>
      <w:marBottom w:val="0"/>
      <w:divBdr>
        <w:top w:val="none" w:sz="0" w:space="0" w:color="auto"/>
        <w:left w:val="none" w:sz="0" w:space="0" w:color="auto"/>
        <w:bottom w:val="none" w:sz="0" w:space="0" w:color="auto"/>
        <w:right w:val="none" w:sz="0" w:space="0" w:color="auto"/>
      </w:divBdr>
    </w:div>
    <w:div w:id="20078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2BD1-D1F8-498E-B5D2-C5738A61BEE3}">
  <ds:schemaRefs>
    <ds:schemaRef ds:uri="http://schemas.openxmlformats.org/officeDocument/2006/bibliography"/>
  </ds:schemaRefs>
</ds:datastoreItem>
</file>

<file path=customXml/itemProps2.xml><?xml version="1.0" encoding="utf-8"?>
<ds:datastoreItem xmlns:ds="http://schemas.openxmlformats.org/officeDocument/2006/customXml" ds:itemID="{5ED52A8B-FEEC-4721-89C6-BEAFA84C2778}">
  <ds:schemaRefs>
    <ds:schemaRef ds:uri="http://schemas.openxmlformats.org/officeDocument/2006/bibliography"/>
  </ds:schemaRefs>
</ds:datastoreItem>
</file>

<file path=customXml/itemProps3.xml><?xml version="1.0" encoding="utf-8"?>
<ds:datastoreItem xmlns:ds="http://schemas.openxmlformats.org/officeDocument/2006/customXml" ds:itemID="{B1D98FEA-DD21-4BB6-8073-8B92622A9B0A}">
  <ds:schemaRefs>
    <ds:schemaRef ds:uri="http://schemas.openxmlformats.org/officeDocument/2006/bibliography"/>
  </ds:schemaRefs>
</ds:datastoreItem>
</file>

<file path=customXml/itemProps4.xml><?xml version="1.0" encoding="utf-8"?>
<ds:datastoreItem xmlns:ds="http://schemas.openxmlformats.org/officeDocument/2006/customXml" ds:itemID="{2B0FF794-F087-4A54-80B4-AB2283B9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6277</Words>
  <Characters>3578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Jūratė Masiulienė</cp:lastModifiedBy>
  <cp:revision>8</cp:revision>
  <cp:lastPrinted>2023-02-07T07:57:00Z</cp:lastPrinted>
  <dcterms:created xsi:type="dcterms:W3CDTF">2023-03-01T15:38:00Z</dcterms:created>
  <dcterms:modified xsi:type="dcterms:W3CDTF">2023-03-06T15:40:00Z</dcterms:modified>
</cp:coreProperties>
</file>