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F196BF" w14:textId="77777777" w:rsidR="0006205F" w:rsidRPr="002D7CDF" w:rsidRDefault="0006205F" w:rsidP="0006205F">
      <w:pPr>
        <w:spacing w:after="0" w:line="240" w:lineRule="auto"/>
        <w:ind w:right="-1023" w:firstLine="10206"/>
        <w:rPr>
          <w:rFonts w:ascii="Times New Roman" w:hAnsi="Times New Roman"/>
          <w:sz w:val="23"/>
          <w:szCs w:val="23"/>
        </w:rPr>
      </w:pPr>
      <w:r w:rsidRPr="002D7CDF">
        <w:rPr>
          <w:rFonts w:ascii="Times New Roman" w:hAnsi="Times New Roman"/>
          <w:sz w:val="23"/>
          <w:szCs w:val="23"/>
        </w:rPr>
        <w:t>PATVIRTINTA</w:t>
      </w:r>
    </w:p>
    <w:p w14:paraId="1D30F5F4" w14:textId="77777777" w:rsidR="0006205F" w:rsidRPr="002D7CDF" w:rsidRDefault="0006205F" w:rsidP="0006205F">
      <w:pPr>
        <w:spacing w:after="0" w:line="240" w:lineRule="auto"/>
        <w:ind w:right="-1448" w:firstLine="10206"/>
        <w:rPr>
          <w:rFonts w:ascii="Times New Roman" w:hAnsi="Times New Roman"/>
          <w:sz w:val="23"/>
          <w:szCs w:val="23"/>
        </w:rPr>
      </w:pPr>
      <w:r w:rsidRPr="002D7CDF">
        <w:rPr>
          <w:rFonts w:ascii="Times New Roman" w:hAnsi="Times New Roman"/>
          <w:sz w:val="23"/>
          <w:szCs w:val="23"/>
        </w:rPr>
        <w:t>Lietuvos Respublikos žemės ūkio ministerijos</w:t>
      </w:r>
    </w:p>
    <w:p w14:paraId="7A585FF0" w14:textId="0D648EE4" w:rsidR="0006205F" w:rsidRPr="002D7CDF" w:rsidRDefault="0006205F" w:rsidP="0006205F">
      <w:pPr>
        <w:spacing w:after="0" w:line="240" w:lineRule="auto"/>
        <w:ind w:right="-1023" w:firstLine="10206"/>
        <w:rPr>
          <w:rFonts w:ascii="Times New Roman" w:hAnsi="Times New Roman"/>
          <w:sz w:val="23"/>
          <w:szCs w:val="23"/>
        </w:rPr>
      </w:pPr>
      <w:r w:rsidRPr="002D7CDF">
        <w:rPr>
          <w:rFonts w:ascii="Times New Roman" w:hAnsi="Times New Roman"/>
          <w:sz w:val="23"/>
          <w:szCs w:val="23"/>
        </w:rPr>
        <w:t>kanclerio 201</w:t>
      </w:r>
      <w:r w:rsidR="003D2715" w:rsidRPr="002D7CDF">
        <w:rPr>
          <w:rFonts w:ascii="Times New Roman" w:hAnsi="Times New Roman"/>
          <w:sz w:val="23"/>
          <w:szCs w:val="23"/>
        </w:rPr>
        <w:t>8</w:t>
      </w:r>
      <w:r w:rsidRPr="002D7CDF">
        <w:rPr>
          <w:rFonts w:ascii="Times New Roman" w:hAnsi="Times New Roman"/>
          <w:sz w:val="23"/>
          <w:szCs w:val="23"/>
        </w:rPr>
        <w:t xml:space="preserve"> m.</w:t>
      </w:r>
      <w:r w:rsidR="003D2715" w:rsidRPr="002D7CDF">
        <w:rPr>
          <w:rFonts w:ascii="Times New Roman" w:hAnsi="Times New Roman"/>
          <w:sz w:val="23"/>
          <w:szCs w:val="23"/>
        </w:rPr>
        <w:t xml:space="preserve"> </w:t>
      </w:r>
      <w:r w:rsidR="001C63F4" w:rsidRPr="002D7CDF">
        <w:rPr>
          <w:rFonts w:ascii="Times New Roman" w:hAnsi="Times New Roman"/>
          <w:sz w:val="23"/>
          <w:szCs w:val="23"/>
        </w:rPr>
        <w:t>b</w:t>
      </w:r>
      <w:r w:rsidR="00DD350F">
        <w:rPr>
          <w:rFonts w:ascii="Times New Roman" w:hAnsi="Times New Roman"/>
          <w:sz w:val="23"/>
          <w:szCs w:val="23"/>
        </w:rPr>
        <w:t>irželio</w:t>
      </w:r>
      <w:r w:rsidR="002C4543" w:rsidRPr="002D7CDF">
        <w:rPr>
          <w:rFonts w:ascii="Times New Roman" w:hAnsi="Times New Roman"/>
          <w:sz w:val="23"/>
          <w:szCs w:val="23"/>
        </w:rPr>
        <w:t xml:space="preserve"> </w:t>
      </w:r>
      <w:r w:rsidR="00DD350F">
        <w:rPr>
          <w:rFonts w:ascii="Times New Roman" w:hAnsi="Times New Roman"/>
          <w:sz w:val="23"/>
          <w:szCs w:val="23"/>
        </w:rPr>
        <w:t>8</w:t>
      </w:r>
      <w:r w:rsidR="0026355D" w:rsidRPr="002D7CDF">
        <w:rPr>
          <w:rFonts w:ascii="Times New Roman" w:hAnsi="Times New Roman"/>
          <w:sz w:val="23"/>
          <w:szCs w:val="23"/>
        </w:rPr>
        <w:t xml:space="preserve"> </w:t>
      </w:r>
      <w:r w:rsidRPr="002D7CDF">
        <w:rPr>
          <w:rFonts w:ascii="Times New Roman" w:hAnsi="Times New Roman"/>
          <w:sz w:val="23"/>
          <w:szCs w:val="23"/>
        </w:rPr>
        <w:t>d.</w:t>
      </w:r>
    </w:p>
    <w:p w14:paraId="2B657346" w14:textId="23300242" w:rsidR="0006205F" w:rsidRPr="002D7CDF" w:rsidRDefault="0006205F" w:rsidP="0006205F">
      <w:pPr>
        <w:spacing w:after="0" w:line="240" w:lineRule="auto"/>
        <w:ind w:right="-1023" w:firstLine="10206"/>
        <w:rPr>
          <w:rFonts w:ascii="Times New Roman" w:hAnsi="Times New Roman"/>
          <w:sz w:val="23"/>
          <w:szCs w:val="23"/>
        </w:rPr>
      </w:pPr>
      <w:r w:rsidRPr="002D7CDF">
        <w:rPr>
          <w:rFonts w:ascii="Times New Roman" w:hAnsi="Times New Roman"/>
          <w:sz w:val="23"/>
          <w:szCs w:val="23"/>
        </w:rPr>
        <w:t>potvarkiu Nr. 4D-</w:t>
      </w:r>
      <w:r w:rsidR="00DD350F">
        <w:rPr>
          <w:rFonts w:ascii="Times New Roman" w:hAnsi="Times New Roman"/>
          <w:sz w:val="23"/>
          <w:szCs w:val="23"/>
        </w:rPr>
        <w:t>77</w:t>
      </w:r>
      <w:bookmarkStart w:id="0" w:name="_GoBack"/>
      <w:bookmarkEnd w:id="0"/>
    </w:p>
    <w:p w14:paraId="6E040C49" w14:textId="77777777" w:rsidR="0006205F" w:rsidRPr="002D7CDF" w:rsidRDefault="0006205F" w:rsidP="0006205F">
      <w:pPr>
        <w:spacing w:after="0" w:line="240" w:lineRule="auto"/>
        <w:ind w:firstLine="10206"/>
        <w:rPr>
          <w:rFonts w:ascii="Times New Roman" w:hAnsi="Times New Roman"/>
        </w:rPr>
      </w:pPr>
    </w:p>
    <w:p w14:paraId="2C582DC7" w14:textId="77777777" w:rsidR="0006205F" w:rsidRPr="002D7CDF" w:rsidRDefault="0006205F" w:rsidP="0006205F">
      <w:pPr>
        <w:spacing w:after="0" w:line="240" w:lineRule="auto"/>
        <w:jc w:val="center"/>
        <w:rPr>
          <w:rFonts w:ascii="Times New Roman" w:hAnsi="Times New Roman"/>
          <w:b/>
          <w:sz w:val="24"/>
          <w:szCs w:val="24"/>
        </w:rPr>
      </w:pPr>
      <w:r w:rsidRPr="002D7CDF">
        <w:rPr>
          <w:rFonts w:ascii="Times New Roman" w:hAnsi="Times New Roman"/>
          <w:b/>
          <w:bCs/>
          <w:sz w:val="24"/>
          <w:szCs w:val="24"/>
        </w:rPr>
        <w:t xml:space="preserve">PROJEKTŲ, KURIEMS NESKIRIAMA PARAMA PAGAL </w:t>
      </w:r>
      <w:r w:rsidRPr="002D7CDF">
        <w:rPr>
          <w:rFonts w:ascii="Times New Roman" w:hAnsi="Times New Roman"/>
          <w:b/>
          <w:sz w:val="24"/>
          <w:szCs w:val="24"/>
        </w:rPr>
        <w:t>LIETUVOS ŽUVININKYSTĖS SEKTORIAUS 2014–2020 METŲ VEIKSMŲ PROGRAMOS ANTROJO SĄJUNGOS PRIORITETO „APLINKOSAUGOS POŽIŪRIU TVARIOS, EFEKTYVIAI IŠTEKLIUS NAUDOJANČIOS, INOVACINĖS, KONKURENCINGOS IR ŽINIOMIS GRINDŽIAMOS AKVAKULTŪROS SKATINIMAS“  PRIEMONĘ „PRODUKTYVIOS INVESTICIJOS Į AKVAKULTŪRĄ“, SĄRAŠAS</w:t>
      </w:r>
    </w:p>
    <w:p w14:paraId="4DE0FC71" w14:textId="77777777" w:rsidR="0006205F" w:rsidRPr="002D7CDF" w:rsidRDefault="0006205F" w:rsidP="0006205F">
      <w:pPr>
        <w:spacing w:after="0" w:line="240" w:lineRule="auto"/>
        <w:jc w:val="center"/>
        <w:rPr>
          <w:rFonts w:ascii="Times New Roman" w:hAnsi="Times New Roman"/>
          <w:b/>
          <w:sz w:val="23"/>
          <w:szCs w:val="23"/>
        </w:rPr>
      </w:pPr>
    </w:p>
    <w:tbl>
      <w:tblPr>
        <w:tblW w:w="14860" w:type="dxa"/>
        <w:tblInd w:w="274" w:type="dxa"/>
        <w:tblLayout w:type="fixed"/>
        <w:tblCellMar>
          <w:left w:w="0" w:type="dxa"/>
          <w:right w:w="0" w:type="dxa"/>
        </w:tblCellMar>
        <w:tblLook w:val="04A0" w:firstRow="1" w:lastRow="0" w:firstColumn="1" w:lastColumn="0" w:noHBand="0" w:noVBand="1"/>
      </w:tblPr>
      <w:tblGrid>
        <w:gridCol w:w="567"/>
        <w:gridCol w:w="1417"/>
        <w:gridCol w:w="1418"/>
        <w:gridCol w:w="1134"/>
        <w:gridCol w:w="10324"/>
      </w:tblGrid>
      <w:tr w:rsidR="0006205F" w:rsidRPr="002D7CDF" w14:paraId="183DF686" w14:textId="77777777" w:rsidTr="00F608D4">
        <w:trPr>
          <w:trHeight w:val="1122"/>
        </w:trPr>
        <w:tc>
          <w:tcPr>
            <w:tcW w:w="567" w:type="dxa"/>
            <w:tcBorders>
              <w:top w:val="single" w:sz="8" w:space="0" w:color="auto"/>
              <w:left w:val="single" w:sz="8" w:space="0" w:color="auto"/>
              <w:right w:val="single" w:sz="8" w:space="0" w:color="auto"/>
            </w:tcBorders>
            <w:tcMar>
              <w:top w:w="0" w:type="dxa"/>
              <w:left w:w="108" w:type="dxa"/>
              <w:bottom w:w="0" w:type="dxa"/>
              <w:right w:w="108" w:type="dxa"/>
            </w:tcMar>
            <w:vAlign w:val="center"/>
            <w:hideMark/>
          </w:tcPr>
          <w:p w14:paraId="4B414A06" w14:textId="77777777" w:rsidR="0006205F" w:rsidRPr="002D7CDF" w:rsidRDefault="0006205F" w:rsidP="00F608D4">
            <w:pPr>
              <w:spacing w:after="0" w:line="240" w:lineRule="auto"/>
              <w:jc w:val="center"/>
              <w:rPr>
                <w:rFonts w:ascii="Times New Roman" w:eastAsia="Times New Roman" w:hAnsi="Times New Roman"/>
                <w:b/>
                <w:bCs/>
                <w:lang w:eastAsia="lt-LT"/>
              </w:rPr>
            </w:pPr>
            <w:r w:rsidRPr="002D7CDF">
              <w:rPr>
                <w:rFonts w:ascii="Times New Roman" w:eastAsia="Times New Roman" w:hAnsi="Times New Roman"/>
                <w:b/>
                <w:bCs/>
                <w:lang w:eastAsia="lt-LT"/>
              </w:rPr>
              <w:t>Eil. Nr.</w:t>
            </w:r>
          </w:p>
        </w:tc>
        <w:tc>
          <w:tcPr>
            <w:tcW w:w="1417" w:type="dxa"/>
            <w:tcBorders>
              <w:top w:val="single" w:sz="8" w:space="0" w:color="auto"/>
              <w:left w:val="nil"/>
              <w:right w:val="single" w:sz="8" w:space="0" w:color="auto"/>
            </w:tcBorders>
            <w:tcMar>
              <w:top w:w="0" w:type="dxa"/>
              <w:left w:w="108" w:type="dxa"/>
              <w:bottom w:w="0" w:type="dxa"/>
              <w:right w:w="108" w:type="dxa"/>
            </w:tcMar>
            <w:vAlign w:val="center"/>
            <w:hideMark/>
          </w:tcPr>
          <w:p w14:paraId="22C1B341"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Paraiškos registracijos Nr.</w:t>
            </w:r>
          </w:p>
        </w:tc>
        <w:tc>
          <w:tcPr>
            <w:tcW w:w="1418" w:type="dxa"/>
            <w:tcBorders>
              <w:top w:val="single" w:sz="8" w:space="0" w:color="auto"/>
              <w:left w:val="nil"/>
              <w:right w:val="single" w:sz="8" w:space="0" w:color="auto"/>
            </w:tcBorders>
            <w:tcMar>
              <w:top w:w="0" w:type="dxa"/>
              <w:left w:w="108" w:type="dxa"/>
              <w:bottom w:w="0" w:type="dxa"/>
              <w:right w:w="108" w:type="dxa"/>
            </w:tcMar>
            <w:vAlign w:val="center"/>
            <w:hideMark/>
          </w:tcPr>
          <w:p w14:paraId="7C068DBD" w14:textId="77777777" w:rsidR="0006205F" w:rsidRPr="002D7CDF" w:rsidRDefault="0006205F" w:rsidP="00F608D4">
            <w:pPr>
              <w:spacing w:after="0" w:line="240" w:lineRule="auto"/>
              <w:jc w:val="center"/>
              <w:rPr>
                <w:rFonts w:ascii="Times New Roman" w:eastAsia="Times New Roman" w:hAnsi="Times New Roman"/>
                <w:b/>
                <w:bCs/>
                <w:lang w:eastAsia="lt-LT"/>
              </w:rPr>
            </w:pPr>
            <w:r w:rsidRPr="002D7CDF">
              <w:rPr>
                <w:rFonts w:ascii="Times New Roman" w:eastAsia="Times New Roman" w:hAnsi="Times New Roman"/>
                <w:b/>
                <w:bCs/>
                <w:lang w:eastAsia="lt-LT"/>
              </w:rPr>
              <w:t>Pareiškėjo pavadinimas</w:t>
            </w:r>
          </w:p>
        </w:tc>
        <w:tc>
          <w:tcPr>
            <w:tcW w:w="1134" w:type="dxa"/>
            <w:tcBorders>
              <w:top w:val="single" w:sz="8" w:space="0" w:color="auto"/>
              <w:left w:val="nil"/>
              <w:right w:val="single" w:sz="8" w:space="0" w:color="auto"/>
            </w:tcBorders>
            <w:tcMar>
              <w:top w:w="0" w:type="dxa"/>
              <w:left w:w="108" w:type="dxa"/>
              <w:bottom w:w="0" w:type="dxa"/>
              <w:right w:w="108" w:type="dxa"/>
            </w:tcMar>
            <w:vAlign w:val="center"/>
            <w:hideMark/>
          </w:tcPr>
          <w:p w14:paraId="227896A7"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Prašomos paramos suma, Eur</w:t>
            </w:r>
          </w:p>
        </w:tc>
        <w:tc>
          <w:tcPr>
            <w:tcW w:w="10324" w:type="dxa"/>
            <w:tcBorders>
              <w:top w:val="single" w:sz="8" w:space="0" w:color="auto"/>
              <w:left w:val="nil"/>
              <w:right w:val="single" w:sz="8" w:space="0" w:color="auto"/>
            </w:tcBorders>
            <w:vAlign w:val="center"/>
          </w:tcPr>
          <w:p w14:paraId="07385C6A" w14:textId="77777777" w:rsidR="0006205F" w:rsidRPr="002D7CDF" w:rsidRDefault="0006205F" w:rsidP="00F608D4">
            <w:pPr>
              <w:spacing w:after="0" w:line="240" w:lineRule="auto"/>
              <w:jc w:val="center"/>
              <w:rPr>
                <w:rFonts w:ascii="Times New Roman" w:eastAsia="Times New Roman" w:hAnsi="Times New Roman"/>
                <w:b/>
                <w:bCs/>
                <w:lang w:eastAsia="lt-LT"/>
              </w:rPr>
            </w:pPr>
            <w:r w:rsidRPr="002D7CDF">
              <w:rPr>
                <w:rFonts w:ascii="Times New Roman" w:eastAsia="Times New Roman" w:hAnsi="Times New Roman"/>
                <w:b/>
                <w:bCs/>
                <w:lang w:eastAsia="lt-LT"/>
              </w:rPr>
              <w:t>Paramos neskyrimo priežastis</w:t>
            </w:r>
          </w:p>
        </w:tc>
      </w:tr>
      <w:tr w:rsidR="0006205F" w:rsidRPr="002D7CDF" w14:paraId="34032239" w14:textId="77777777" w:rsidTr="00F608D4">
        <w:trPr>
          <w:trHeight w:val="327"/>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272602"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1</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E9DE77"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2</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083680"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3</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51F99FA"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4</w:t>
            </w:r>
          </w:p>
        </w:tc>
        <w:tc>
          <w:tcPr>
            <w:tcW w:w="10324" w:type="dxa"/>
            <w:tcBorders>
              <w:top w:val="single" w:sz="8" w:space="0" w:color="auto"/>
              <w:left w:val="nil"/>
              <w:bottom w:val="single" w:sz="8" w:space="0" w:color="auto"/>
              <w:right w:val="single" w:sz="8" w:space="0" w:color="auto"/>
            </w:tcBorders>
          </w:tcPr>
          <w:p w14:paraId="6862DE9D" w14:textId="77777777" w:rsidR="0006205F" w:rsidRPr="002D7CDF" w:rsidRDefault="0006205F" w:rsidP="00F608D4">
            <w:pPr>
              <w:spacing w:after="0" w:line="240" w:lineRule="auto"/>
              <w:jc w:val="center"/>
              <w:rPr>
                <w:rFonts w:ascii="Times New Roman" w:eastAsia="Times New Roman" w:hAnsi="Times New Roman"/>
                <w:b/>
                <w:lang w:eastAsia="lt-LT"/>
              </w:rPr>
            </w:pPr>
            <w:r w:rsidRPr="002D7CDF">
              <w:rPr>
                <w:rFonts w:ascii="Times New Roman" w:eastAsia="Times New Roman" w:hAnsi="Times New Roman"/>
                <w:b/>
                <w:lang w:eastAsia="lt-LT"/>
              </w:rPr>
              <w:t>5</w:t>
            </w:r>
          </w:p>
        </w:tc>
      </w:tr>
      <w:tr w:rsidR="0006205F" w:rsidRPr="002D7CDF" w14:paraId="5406610C" w14:textId="77777777" w:rsidTr="00F608D4">
        <w:trPr>
          <w:trHeight w:val="524"/>
        </w:trPr>
        <w:tc>
          <w:tcPr>
            <w:tcW w:w="56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44C1D7" w14:textId="77777777" w:rsidR="0006205F" w:rsidRPr="00F47820" w:rsidRDefault="0006205F" w:rsidP="00F608D4">
            <w:pPr>
              <w:spacing w:after="0" w:line="240" w:lineRule="auto"/>
              <w:rPr>
                <w:rFonts w:ascii="Times New Roman" w:eastAsia="Times New Roman" w:hAnsi="Times New Roman"/>
                <w:sz w:val="24"/>
                <w:szCs w:val="24"/>
                <w:lang w:eastAsia="lt-LT"/>
              </w:rPr>
            </w:pPr>
            <w:r w:rsidRPr="00F47820">
              <w:rPr>
                <w:rFonts w:ascii="Times New Roman" w:eastAsia="Times New Roman" w:hAnsi="Times New Roman"/>
                <w:sz w:val="24"/>
                <w:szCs w:val="24"/>
                <w:lang w:eastAsia="lt-LT"/>
              </w:rPr>
              <w:t>1.</w:t>
            </w:r>
          </w:p>
        </w:tc>
        <w:tc>
          <w:tcPr>
            <w:tcW w:w="141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3CD4CD8" w14:textId="0C8D76AA" w:rsidR="0006205F" w:rsidRPr="00F47820" w:rsidRDefault="00F47820" w:rsidP="00BC4470">
            <w:pPr>
              <w:spacing w:after="0" w:line="240" w:lineRule="auto"/>
              <w:rPr>
                <w:rFonts w:ascii="Times New Roman" w:hAnsi="Times New Roman"/>
                <w:sz w:val="24"/>
                <w:szCs w:val="24"/>
              </w:rPr>
            </w:pPr>
            <w:r w:rsidRPr="00F47820">
              <w:rPr>
                <w:rFonts w:ascii="Times New Roman" w:hAnsi="Times New Roman"/>
                <w:sz w:val="24"/>
                <w:szCs w:val="24"/>
              </w:rPr>
              <w:t>48IA-KP-17-1-00148 - PR001</w:t>
            </w:r>
          </w:p>
        </w:tc>
        <w:tc>
          <w:tcPr>
            <w:tcW w:w="141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609B823" w14:textId="5776C51F" w:rsidR="0006205F" w:rsidRPr="00F47820" w:rsidRDefault="003D2715" w:rsidP="00F608D4">
            <w:pPr>
              <w:spacing w:after="0"/>
              <w:rPr>
                <w:rFonts w:ascii="Times New Roman" w:hAnsi="Times New Roman"/>
                <w:sz w:val="24"/>
                <w:szCs w:val="24"/>
              </w:rPr>
            </w:pPr>
            <w:r w:rsidRPr="00F47820">
              <w:rPr>
                <w:rFonts w:ascii="Times New Roman" w:hAnsi="Times New Roman"/>
                <w:bCs/>
                <w:sz w:val="24"/>
                <w:szCs w:val="24"/>
              </w:rPr>
              <w:t>UAB „</w:t>
            </w:r>
            <w:proofErr w:type="spellStart"/>
            <w:r w:rsidR="00F47820" w:rsidRPr="00F47820">
              <w:rPr>
                <w:rFonts w:ascii="Times New Roman" w:hAnsi="Times New Roman"/>
                <w:bCs/>
                <w:sz w:val="24"/>
                <w:szCs w:val="24"/>
              </w:rPr>
              <w:t>Deivilas</w:t>
            </w:r>
            <w:proofErr w:type="spellEnd"/>
            <w:r w:rsidRPr="00F47820">
              <w:rPr>
                <w:rFonts w:ascii="Times New Roman" w:hAnsi="Times New Roman"/>
                <w:bCs/>
                <w:sz w:val="24"/>
                <w:szCs w:val="24"/>
              </w:rPr>
              <w:t>“</w:t>
            </w:r>
          </w:p>
        </w:tc>
        <w:tc>
          <w:tcPr>
            <w:tcW w:w="113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DE9DD00" w14:textId="646AFCE2" w:rsidR="0006205F" w:rsidRPr="00F47820" w:rsidRDefault="00F47820" w:rsidP="00F608D4">
            <w:pPr>
              <w:spacing w:after="0" w:line="240" w:lineRule="auto"/>
              <w:jc w:val="center"/>
              <w:rPr>
                <w:rFonts w:ascii="Times New Roman" w:hAnsi="Times New Roman"/>
                <w:bCs/>
                <w:sz w:val="24"/>
                <w:szCs w:val="24"/>
              </w:rPr>
            </w:pPr>
            <w:r w:rsidRPr="00F47820">
              <w:rPr>
                <w:rFonts w:ascii="Times New Roman" w:eastAsia="Times New Roman" w:hAnsi="Times New Roman"/>
                <w:sz w:val="24"/>
                <w:szCs w:val="24"/>
                <w:lang w:eastAsia="lt-LT"/>
              </w:rPr>
              <w:t>497 314</w:t>
            </w:r>
          </w:p>
        </w:tc>
        <w:tc>
          <w:tcPr>
            <w:tcW w:w="10324" w:type="dxa"/>
            <w:tcBorders>
              <w:top w:val="single" w:sz="8" w:space="0" w:color="auto"/>
              <w:left w:val="nil"/>
              <w:bottom w:val="single" w:sz="8" w:space="0" w:color="auto"/>
              <w:right w:val="single" w:sz="8" w:space="0" w:color="auto"/>
            </w:tcBorders>
          </w:tcPr>
          <w:p w14:paraId="56176DFE" w14:textId="77777777" w:rsidR="00AE6E2B" w:rsidRPr="00F464D9" w:rsidRDefault="001C63F4" w:rsidP="00AE6E2B">
            <w:pPr>
              <w:spacing w:after="0" w:line="259" w:lineRule="auto"/>
              <w:jc w:val="both"/>
              <w:rPr>
                <w:rFonts w:ascii="Times New Roman" w:hAnsi="Times New Roman"/>
                <w:sz w:val="24"/>
                <w:szCs w:val="24"/>
              </w:rPr>
            </w:pPr>
            <w:r w:rsidRPr="00F47820">
              <w:rPr>
                <w:rFonts w:ascii="Times New Roman" w:hAnsi="Times New Roman"/>
                <w:sz w:val="24"/>
                <w:szCs w:val="24"/>
              </w:rPr>
              <w:t xml:space="preserve">            </w:t>
            </w:r>
            <w:r w:rsidR="00AE6E2B" w:rsidRPr="00F47820">
              <w:rPr>
                <w:rFonts w:ascii="Times New Roman" w:hAnsi="Times New Roman"/>
                <w:sz w:val="24"/>
                <w:szCs w:val="24"/>
              </w:rPr>
              <w:t xml:space="preserve">            UAB „</w:t>
            </w:r>
            <w:proofErr w:type="spellStart"/>
            <w:r w:rsidR="00AE6E2B" w:rsidRPr="00F47820">
              <w:rPr>
                <w:rFonts w:ascii="Times New Roman" w:hAnsi="Times New Roman"/>
                <w:sz w:val="24"/>
                <w:szCs w:val="24"/>
              </w:rPr>
              <w:t>Deivilas</w:t>
            </w:r>
            <w:proofErr w:type="spellEnd"/>
            <w:r w:rsidR="00AE6E2B" w:rsidRPr="00F47820">
              <w:rPr>
                <w:rFonts w:ascii="Times New Roman" w:hAnsi="Times New Roman"/>
                <w:sz w:val="24"/>
                <w:szCs w:val="24"/>
              </w:rPr>
              <w:t xml:space="preserve">“ (toliau – </w:t>
            </w:r>
            <w:r w:rsidR="00AE6E2B">
              <w:rPr>
                <w:rFonts w:ascii="Times New Roman" w:hAnsi="Times New Roman"/>
                <w:sz w:val="24"/>
                <w:szCs w:val="24"/>
              </w:rPr>
              <w:t>p</w:t>
            </w:r>
            <w:r w:rsidR="00AE6E2B" w:rsidRPr="00F47820">
              <w:rPr>
                <w:rFonts w:ascii="Times New Roman" w:hAnsi="Times New Roman"/>
                <w:sz w:val="24"/>
                <w:szCs w:val="24"/>
              </w:rPr>
              <w:t xml:space="preserve">areiškėja) projektas </w:t>
            </w:r>
            <w:r w:rsidR="00AE6E2B" w:rsidRPr="00F464D9">
              <w:rPr>
                <w:rFonts w:ascii="Times New Roman" w:hAnsi="Times New Roman"/>
                <w:sz w:val="24"/>
                <w:szCs w:val="24"/>
              </w:rPr>
              <w:t>„UAB „</w:t>
            </w:r>
            <w:proofErr w:type="spellStart"/>
            <w:r w:rsidR="00AE6E2B" w:rsidRPr="00F464D9">
              <w:rPr>
                <w:rFonts w:ascii="Times New Roman" w:hAnsi="Times New Roman"/>
                <w:sz w:val="24"/>
                <w:szCs w:val="24"/>
              </w:rPr>
              <w:t>Deivilas</w:t>
            </w:r>
            <w:proofErr w:type="spellEnd"/>
            <w:r w:rsidR="00AE6E2B" w:rsidRPr="00F464D9">
              <w:rPr>
                <w:rFonts w:ascii="Times New Roman" w:hAnsi="Times New Roman"/>
                <w:sz w:val="24"/>
                <w:szCs w:val="24"/>
              </w:rPr>
              <w:t xml:space="preserve">“ konkurencingumo bei gyvybingumo didinimas, įskaitant saugos ir darbo sąlygų gerinimą“ (toliau – </w:t>
            </w:r>
            <w:r w:rsidR="00AE6E2B">
              <w:rPr>
                <w:rFonts w:ascii="Times New Roman" w:hAnsi="Times New Roman"/>
                <w:sz w:val="24"/>
                <w:szCs w:val="24"/>
              </w:rPr>
              <w:t>p</w:t>
            </w:r>
            <w:r w:rsidR="00AE6E2B" w:rsidRPr="00F464D9">
              <w:rPr>
                <w:rFonts w:ascii="Times New Roman" w:hAnsi="Times New Roman"/>
                <w:sz w:val="24"/>
                <w:szCs w:val="24"/>
              </w:rPr>
              <w:t xml:space="preserve">rojektas) (paraiška pateikta 2017 m. birželio 30 d., </w:t>
            </w:r>
            <w:proofErr w:type="spellStart"/>
            <w:r w:rsidR="00AE6E2B" w:rsidRPr="00F464D9">
              <w:rPr>
                <w:rFonts w:ascii="Times New Roman" w:hAnsi="Times New Roman"/>
                <w:sz w:val="24"/>
                <w:szCs w:val="24"/>
              </w:rPr>
              <w:t>reg</w:t>
            </w:r>
            <w:proofErr w:type="spellEnd"/>
            <w:r w:rsidR="00AE6E2B" w:rsidRPr="00F464D9">
              <w:rPr>
                <w:rFonts w:ascii="Times New Roman" w:hAnsi="Times New Roman"/>
                <w:sz w:val="24"/>
                <w:szCs w:val="24"/>
              </w:rPr>
              <w:t xml:space="preserve">. Nr. 48IA-KP-17-1-00148 - PR001) (toliau – </w:t>
            </w:r>
            <w:r w:rsidR="00AE6E2B">
              <w:rPr>
                <w:rFonts w:ascii="Times New Roman" w:hAnsi="Times New Roman"/>
                <w:sz w:val="24"/>
                <w:szCs w:val="24"/>
              </w:rPr>
              <w:t>p</w:t>
            </w:r>
            <w:r w:rsidR="00AE6E2B" w:rsidRPr="00F464D9">
              <w:rPr>
                <w:rFonts w:ascii="Times New Roman" w:hAnsi="Times New Roman"/>
                <w:sz w:val="24"/>
                <w:szCs w:val="24"/>
              </w:rPr>
              <w:t>araiška)</w:t>
            </w:r>
            <w:r w:rsidR="00AE6E2B">
              <w:rPr>
                <w:rFonts w:ascii="Times New Roman" w:hAnsi="Times New Roman"/>
                <w:sz w:val="24"/>
                <w:szCs w:val="24"/>
              </w:rPr>
              <w:t>,</w:t>
            </w:r>
            <w:r w:rsidR="00AE6E2B" w:rsidRPr="00F464D9">
              <w:rPr>
                <w:rFonts w:ascii="Times New Roman" w:hAnsi="Times New Roman"/>
                <w:sz w:val="24"/>
                <w:szCs w:val="24"/>
              </w:rPr>
              <w:t xml:space="preserve"> </w:t>
            </w:r>
            <w:r w:rsidR="00AE6E2B" w:rsidRPr="00F47820">
              <w:rPr>
                <w:rFonts w:ascii="Times New Roman" w:hAnsi="Times New Roman"/>
                <w:sz w:val="24"/>
                <w:szCs w:val="24"/>
              </w:rPr>
              <w:t>netinkamas gauti paramą pagal Lietuvos žuvininkystės sektoriaus 2014</w:t>
            </w:r>
            <w:r w:rsidR="00AE6E2B">
              <w:rPr>
                <w:rFonts w:ascii="Times New Roman" w:hAnsi="Times New Roman"/>
                <w:sz w:val="24"/>
                <w:szCs w:val="24"/>
              </w:rPr>
              <w:t>–</w:t>
            </w:r>
            <w:r w:rsidR="00AE6E2B" w:rsidRPr="00F47820">
              <w:rPr>
                <w:rFonts w:ascii="Times New Roman" w:hAnsi="Times New Roman"/>
                <w:sz w:val="24"/>
                <w:szCs w:val="24"/>
              </w:rPr>
              <w:t>2020 metų veiksmų programos antrojo Sąjungos prioriteto „</w:t>
            </w:r>
            <w:r w:rsidR="00AE6E2B" w:rsidRPr="00F47820">
              <w:rPr>
                <w:rFonts w:ascii="Times New Roman" w:hAnsi="Times New Roman"/>
                <w:color w:val="000000"/>
                <w:sz w:val="24"/>
                <w:szCs w:val="24"/>
              </w:rPr>
              <w:t>Aplinkosaugos požiūriu tvarios, efektyviai išteklius naudojančios, inovacinės, konkurencingos ir žiniomis grindžiamos akvakultūros skatinimas</w:t>
            </w:r>
            <w:r w:rsidR="00AE6E2B" w:rsidRPr="00F47820">
              <w:rPr>
                <w:rFonts w:ascii="Times New Roman" w:hAnsi="Times New Roman"/>
                <w:sz w:val="24"/>
                <w:szCs w:val="24"/>
              </w:rPr>
              <w:t>“ priemonę „</w:t>
            </w:r>
            <w:r w:rsidR="00AE6E2B" w:rsidRPr="00F47820">
              <w:rPr>
                <w:rFonts w:ascii="Times New Roman" w:hAnsi="Times New Roman"/>
                <w:sz w:val="24"/>
                <w:szCs w:val="24"/>
                <w:lang w:eastAsia="lt-LT"/>
              </w:rPr>
              <w:t>Produktyvios investicijos į akvakultūrą</w:t>
            </w:r>
            <w:r w:rsidR="00AE6E2B" w:rsidRPr="00F47820">
              <w:rPr>
                <w:rFonts w:ascii="Times New Roman" w:hAnsi="Times New Roman"/>
                <w:sz w:val="24"/>
                <w:szCs w:val="24"/>
              </w:rPr>
              <w:t xml:space="preserve">“ įgyvendinimo taisykles, </w:t>
            </w:r>
            <w:r w:rsidR="00AE6E2B" w:rsidRPr="00F47820">
              <w:rPr>
                <w:rFonts w:ascii="Times New Roman" w:hAnsi="Times New Roman"/>
                <w:color w:val="000000"/>
                <w:sz w:val="24"/>
                <w:szCs w:val="24"/>
              </w:rPr>
              <w:t xml:space="preserve">patvirtintas Lietuvos Respublikos žemės ūkio ministro 2016 m. sausio 28 d. įsakymu Nr. 3D-36 „Dėl </w:t>
            </w:r>
            <w:r w:rsidR="00AE6E2B" w:rsidRPr="00F47820">
              <w:rPr>
                <w:rFonts w:ascii="Times New Roman" w:hAnsi="Times New Roman"/>
                <w:sz w:val="24"/>
                <w:szCs w:val="24"/>
              </w:rPr>
              <w:t>Lietuvos žuvininkystės sektoriaus 2014</w:t>
            </w:r>
            <w:r w:rsidR="00AE6E2B">
              <w:rPr>
                <w:rFonts w:ascii="Times New Roman" w:hAnsi="Times New Roman"/>
                <w:sz w:val="24"/>
                <w:szCs w:val="24"/>
              </w:rPr>
              <w:t>–</w:t>
            </w:r>
            <w:r w:rsidR="00AE6E2B" w:rsidRPr="00F47820">
              <w:rPr>
                <w:rFonts w:ascii="Times New Roman" w:hAnsi="Times New Roman"/>
                <w:sz w:val="24"/>
                <w:szCs w:val="24"/>
              </w:rPr>
              <w:t>2020 metų veiksmų programos antrojo Sąjungos prioriteto „</w:t>
            </w:r>
            <w:r w:rsidR="00AE6E2B" w:rsidRPr="00F47820">
              <w:rPr>
                <w:rFonts w:ascii="Times New Roman" w:hAnsi="Times New Roman"/>
                <w:color w:val="000000"/>
                <w:sz w:val="24"/>
                <w:szCs w:val="24"/>
              </w:rPr>
              <w:t>Aplinkosaugos požiūriu tvarios, efektyviai išteklius naudojančios, inovacinės, konkurencingos ir žiniomis grindžiamos akvakultūros skatinimas</w:t>
            </w:r>
            <w:r w:rsidR="00AE6E2B" w:rsidRPr="00F47820">
              <w:rPr>
                <w:rFonts w:ascii="Times New Roman" w:hAnsi="Times New Roman"/>
                <w:sz w:val="24"/>
                <w:szCs w:val="24"/>
              </w:rPr>
              <w:t>“ priemonę „</w:t>
            </w:r>
            <w:r w:rsidR="00AE6E2B" w:rsidRPr="00F47820">
              <w:rPr>
                <w:rFonts w:ascii="Times New Roman" w:hAnsi="Times New Roman"/>
                <w:sz w:val="24"/>
                <w:szCs w:val="24"/>
                <w:lang w:eastAsia="lt-LT"/>
              </w:rPr>
              <w:t>Produktyvios investicijos į akvakultūrą</w:t>
            </w:r>
            <w:r w:rsidR="00AE6E2B" w:rsidRPr="00F47820">
              <w:rPr>
                <w:rFonts w:ascii="Times New Roman" w:hAnsi="Times New Roman"/>
                <w:sz w:val="24"/>
                <w:szCs w:val="24"/>
              </w:rPr>
              <w:t>“  įgyvendinimo taisyklių</w:t>
            </w:r>
            <w:r w:rsidR="00AE6E2B" w:rsidRPr="00F47820">
              <w:rPr>
                <w:rFonts w:ascii="Times New Roman" w:hAnsi="Times New Roman"/>
                <w:color w:val="000000"/>
                <w:sz w:val="24"/>
                <w:szCs w:val="24"/>
              </w:rPr>
              <w:t xml:space="preserve"> </w:t>
            </w:r>
            <w:r w:rsidR="00AE6E2B" w:rsidRPr="00F47820">
              <w:rPr>
                <w:rFonts w:ascii="Times New Roman" w:hAnsi="Times New Roman"/>
                <w:sz w:val="24"/>
                <w:szCs w:val="24"/>
              </w:rPr>
              <w:t xml:space="preserve">patvirtinimo“ (toliau – Taisyklės), kadangi </w:t>
            </w:r>
            <w:r w:rsidR="00AE6E2B">
              <w:rPr>
                <w:rFonts w:ascii="Times New Roman" w:hAnsi="Times New Roman"/>
                <w:sz w:val="24"/>
                <w:szCs w:val="24"/>
              </w:rPr>
              <w:t>pareiškėja</w:t>
            </w:r>
            <w:r w:rsidR="00AE6E2B" w:rsidRPr="00F47820">
              <w:rPr>
                <w:rFonts w:ascii="Times New Roman" w:hAnsi="Times New Roman"/>
                <w:sz w:val="24"/>
                <w:szCs w:val="24"/>
              </w:rPr>
              <w:t xml:space="preserve"> neatitinka </w:t>
            </w:r>
            <w:r w:rsidR="00AE6E2B" w:rsidRPr="00F464D9">
              <w:rPr>
                <w:rFonts w:ascii="Times New Roman" w:hAnsi="Times New Roman"/>
                <w:sz w:val="24"/>
                <w:szCs w:val="24"/>
              </w:rPr>
              <w:t>Taisyklių 22, 25 ir 26 punktuose nustatytų tinkamumo gauti paramą kriterijų.</w:t>
            </w:r>
          </w:p>
          <w:p w14:paraId="5BE39CF6" w14:textId="77777777" w:rsidR="00AE6E2B" w:rsidRPr="00F464D9" w:rsidRDefault="00AE6E2B" w:rsidP="00AE6E2B">
            <w:pPr>
              <w:spacing w:after="0" w:line="259" w:lineRule="auto"/>
              <w:jc w:val="both"/>
              <w:rPr>
                <w:rFonts w:ascii="Times New Roman" w:hAnsi="Times New Roman"/>
                <w:sz w:val="24"/>
                <w:szCs w:val="24"/>
              </w:rPr>
            </w:pPr>
            <w:r w:rsidRPr="00F47820">
              <w:rPr>
                <w:rFonts w:ascii="Times New Roman" w:hAnsi="Times New Roman"/>
                <w:sz w:val="24"/>
                <w:szCs w:val="24"/>
              </w:rPr>
              <w:t xml:space="preserve">             </w:t>
            </w:r>
            <w:r w:rsidRPr="00F464D9">
              <w:rPr>
                <w:rFonts w:ascii="Times New Roman" w:hAnsi="Times New Roman"/>
                <w:sz w:val="24"/>
                <w:szCs w:val="24"/>
              </w:rPr>
              <w:t xml:space="preserve">Paraiška </w:t>
            </w:r>
            <w:r>
              <w:rPr>
                <w:rFonts w:ascii="Times New Roman" w:hAnsi="Times New Roman"/>
                <w:sz w:val="24"/>
                <w:szCs w:val="24"/>
              </w:rPr>
              <w:t xml:space="preserve">buvo </w:t>
            </w:r>
            <w:r w:rsidRPr="00F47820">
              <w:rPr>
                <w:rFonts w:ascii="Times New Roman" w:hAnsi="Times New Roman"/>
                <w:sz w:val="24"/>
                <w:szCs w:val="24"/>
              </w:rPr>
              <w:t>gr</w:t>
            </w:r>
            <w:r>
              <w:rPr>
                <w:rFonts w:ascii="Times New Roman" w:hAnsi="Times New Roman"/>
                <w:sz w:val="24"/>
                <w:szCs w:val="24"/>
              </w:rPr>
              <w:t>ą</w:t>
            </w:r>
            <w:r w:rsidRPr="00F47820">
              <w:rPr>
                <w:rFonts w:ascii="Times New Roman" w:hAnsi="Times New Roman"/>
                <w:sz w:val="24"/>
                <w:szCs w:val="24"/>
              </w:rPr>
              <w:t xml:space="preserve">žinta </w:t>
            </w:r>
            <w:r w:rsidRPr="00F464D9">
              <w:rPr>
                <w:rFonts w:ascii="Times New Roman" w:hAnsi="Times New Roman"/>
                <w:sz w:val="24"/>
                <w:szCs w:val="24"/>
              </w:rPr>
              <w:t>pakartotini</w:t>
            </w:r>
            <w:r w:rsidRPr="00F47820">
              <w:rPr>
                <w:rFonts w:ascii="Times New Roman" w:hAnsi="Times New Roman"/>
                <w:sz w:val="24"/>
                <w:szCs w:val="24"/>
              </w:rPr>
              <w:t>am vertinimui</w:t>
            </w:r>
            <w:r>
              <w:rPr>
                <w:rFonts w:ascii="Times New Roman" w:hAnsi="Times New Roman"/>
                <w:sz w:val="24"/>
                <w:szCs w:val="24"/>
              </w:rPr>
              <w:t xml:space="preserve"> Nacionalinei mokėjimo agentūrai prie Žemės ūkio ministerijos (toliau – Agentūra) (</w:t>
            </w:r>
            <w:r w:rsidRPr="009357DF">
              <w:rPr>
                <w:rFonts w:ascii="Times New Roman" w:hAnsi="Times New Roman"/>
                <w:sz w:val="24"/>
                <w:szCs w:val="24"/>
              </w:rPr>
              <w:t>Lietuvos žuvininkystės sektoriaus 2014–2020 metų veiksmų programos priemonių projektų atrankos komiteto, sudaryto Lietuvos Respublikos žemės ūkio ministro 2016 m. vasario 24 d. įsakymu Nr. 3D-75 „Dėl Lietuvos žuvininkystės sektoriaus 2014–2020 metų veiksmų programos priemonių projektų atrankos komiteto sudarymo“</w:t>
            </w:r>
            <w:r>
              <w:rPr>
                <w:rFonts w:ascii="Times New Roman" w:hAnsi="Times New Roman"/>
                <w:sz w:val="24"/>
                <w:szCs w:val="24"/>
              </w:rPr>
              <w:t xml:space="preserve"> (toliau – PAK)</w:t>
            </w:r>
            <w:r w:rsidRPr="00F464D9">
              <w:rPr>
                <w:rFonts w:ascii="Times New Roman" w:hAnsi="Times New Roman"/>
                <w:sz w:val="24"/>
                <w:szCs w:val="24"/>
              </w:rPr>
              <w:t xml:space="preserve"> 2018 m. kovo 20 d</w:t>
            </w:r>
            <w:r>
              <w:rPr>
                <w:rFonts w:ascii="Times New Roman" w:hAnsi="Times New Roman"/>
                <w:sz w:val="24"/>
                <w:szCs w:val="24"/>
              </w:rPr>
              <w:t>.</w:t>
            </w:r>
            <w:r w:rsidRPr="00F464D9">
              <w:rPr>
                <w:rFonts w:ascii="Times New Roman" w:hAnsi="Times New Roman"/>
                <w:sz w:val="24"/>
                <w:szCs w:val="24"/>
              </w:rPr>
              <w:t xml:space="preserve"> </w:t>
            </w:r>
            <w:r>
              <w:rPr>
                <w:rFonts w:ascii="Times New Roman" w:hAnsi="Times New Roman"/>
                <w:sz w:val="24"/>
                <w:szCs w:val="24"/>
              </w:rPr>
              <w:t xml:space="preserve">posėdžio </w:t>
            </w:r>
            <w:r w:rsidRPr="00F464D9">
              <w:rPr>
                <w:rFonts w:ascii="Times New Roman" w:hAnsi="Times New Roman"/>
                <w:sz w:val="24"/>
                <w:szCs w:val="24"/>
              </w:rPr>
              <w:t>protokol</w:t>
            </w:r>
            <w:r>
              <w:rPr>
                <w:rFonts w:ascii="Times New Roman" w:hAnsi="Times New Roman"/>
                <w:sz w:val="24"/>
                <w:szCs w:val="24"/>
              </w:rPr>
              <w:t>as</w:t>
            </w:r>
            <w:r w:rsidRPr="00F464D9">
              <w:rPr>
                <w:rFonts w:ascii="Times New Roman" w:hAnsi="Times New Roman"/>
                <w:sz w:val="24"/>
                <w:szCs w:val="24"/>
              </w:rPr>
              <w:t xml:space="preserve"> Nr. 8D-138</w:t>
            </w:r>
            <w:r>
              <w:rPr>
                <w:rFonts w:ascii="Times New Roman" w:hAnsi="Times New Roman"/>
                <w:sz w:val="24"/>
                <w:szCs w:val="24"/>
              </w:rPr>
              <w:t>)</w:t>
            </w:r>
            <w:r w:rsidRPr="00F464D9">
              <w:rPr>
                <w:rFonts w:ascii="Times New Roman" w:hAnsi="Times New Roman"/>
                <w:sz w:val="24"/>
                <w:szCs w:val="24"/>
              </w:rPr>
              <w:t xml:space="preserve">, nes PAK posėdžio metu </w:t>
            </w:r>
            <w:r>
              <w:rPr>
                <w:rFonts w:ascii="Times New Roman" w:hAnsi="Times New Roman"/>
                <w:sz w:val="24"/>
                <w:szCs w:val="24"/>
              </w:rPr>
              <w:t>p</w:t>
            </w:r>
            <w:r w:rsidRPr="00F464D9">
              <w:rPr>
                <w:rFonts w:ascii="Times New Roman" w:hAnsi="Times New Roman"/>
                <w:sz w:val="24"/>
                <w:szCs w:val="24"/>
              </w:rPr>
              <w:t>areiškėja pateikė naują</w:t>
            </w:r>
            <w:r>
              <w:rPr>
                <w:rFonts w:ascii="Times New Roman" w:hAnsi="Times New Roman"/>
                <w:sz w:val="24"/>
                <w:szCs w:val="24"/>
              </w:rPr>
              <w:t xml:space="preserve"> kredito</w:t>
            </w:r>
            <w:r w:rsidRPr="00F464D9">
              <w:rPr>
                <w:rFonts w:ascii="Times New Roman" w:hAnsi="Times New Roman"/>
                <w:sz w:val="24"/>
                <w:szCs w:val="24"/>
              </w:rPr>
              <w:t xml:space="preserve"> </w:t>
            </w:r>
            <w:r>
              <w:rPr>
                <w:rFonts w:ascii="Times New Roman" w:hAnsi="Times New Roman"/>
                <w:sz w:val="24"/>
                <w:szCs w:val="24"/>
              </w:rPr>
              <w:t xml:space="preserve">įstaigos </w:t>
            </w:r>
            <w:r w:rsidRPr="00F464D9">
              <w:rPr>
                <w:rFonts w:ascii="Times New Roman" w:hAnsi="Times New Roman"/>
                <w:sz w:val="24"/>
                <w:szCs w:val="24"/>
              </w:rPr>
              <w:t>raštą</w:t>
            </w:r>
            <w:r w:rsidRPr="00F47820">
              <w:rPr>
                <w:rFonts w:ascii="Times New Roman" w:hAnsi="Times New Roman"/>
                <w:sz w:val="24"/>
                <w:szCs w:val="24"/>
              </w:rPr>
              <w:t xml:space="preserve">. Paraišką įvertinus pakartotinai, </w:t>
            </w:r>
            <w:r w:rsidRPr="00F464D9">
              <w:rPr>
                <w:rFonts w:ascii="Times New Roman" w:hAnsi="Times New Roman"/>
                <w:sz w:val="24"/>
                <w:szCs w:val="24"/>
              </w:rPr>
              <w:t xml:space="preserve">nustatyta, kad </w:t>
            </w:r>
            <w:r>
              <w:rPr>
                <w:rFonts w:ascii="Times New Roman" w:hAnsi="Times New Roman"/>
                <w:sz w:val="24"/>
                <w:szCs w:val="24"/>
              </w:rPr>
              <w:t>p</w:t>
            </w:r>
            <w:r w:rsidRPr="00F464D9">
              <w:rPr>
                <w:rFonts w:ascii="Times New Roman" w:hAnsi="Times New Roman"/>
                <w:sz w:val="24"/>
                <w:szCs w:val="24"/>
              </w:rPr>
              <w:t>areiškėja</w:t>
            </w:r>
            <w:r w:rsidRPr="00F47820">
              <w:rPr>
                <w:rFonts w:ascii="Times New Roman" w:hAnsi="Times New Roman"/>
                <w:sz w:val="24"/>
                <w:szCs w:val="24"/>
              </w:rPr>
              <w:t xml:space="preserve"> </w:t>
            </w:r>
            <w:r w:rsidRPr="00F464D9">
              <w:rPr>
                <w:rFonts w:ascii="Times New Roman" w:hAnsi="Times New Roman"/>
                <w:sz w:val="24"/>
                <w:szCs w:val="24"/>
              </w:rPr>
              <w:t>netinkama gauti paramą</w:t>
            </w:r>
            <w:r w:rsidRPr="00F47820">
              <w:rPr>
                <w:rFonts w:ascii="Times New Roman" w:hAnsi="Times New Roman"/>
                <w:sz w:val="24"/>
                <w:szCs w:val="24"/>
              </w:rPr>
              <w:t>,</w:t>
            </w:r>
            <w:r w:rsidRPr="00F464D9">
              <w:rPr>
                <w:rFonts w:ascii="Times New Roman" w:hAnsi="Times New Roman"/>
                <w:sz w:val="24"/>
                <w:szCs w:val="24"/>
              </w:rPr>
              <w:t xml:space="preserve"> nes</w:t>
            </w:r>
            <w:r w:rsidRPr="00F47820">
              <w:rPr>
                <w:rFonts w:ascii="Times New Roman" w:hAnsi="Times New Roman"/>
                <w:sz w:val="24"/>
                <w:szCs w:val="24"/>
              </w:rPr>
              <w:t xml:space="preserve"> vis tiek</w:t>
            </w:r>
            <w:r w:rsidRPr="00F464D9">
              <w:rPr>
                <w:rFonts w:ascii="Times New Roman" w:hAnsi="Times New Roman"/>
                <w:sz w:val="24"/>
                <w:szCs w:val="24"/>
              </w:rPr>
              <w:t xml:space="preserve"> neatitinka Taisyklių 22, 25 ir 26 punktuose nustatytų tinkamumo gauti paramą kriterijų.</w:t>
            </w:r>
          </w:p>
          <w:p w14:paraId="46097497" w14:textId="77777777" w:rsidR="00AE6E2B" w:rsidRPr="00F464D9" w:rsidRDefault="00AE6E2B" w:rsidP="00AE6E2B">
            <w:pPr>
              <w:spacing w:after="0" w:line="259" w:lineRule="auto"/>
              <w:jc w:val="both"/>
              <w:rPr>
                <w:rFonts w:ascii="Times New Roman" w:hAnsi="Times New Roman"/>
                <w:sz w:val="24"/>
                <w:szCs w:val="24"/>
                <w:lang w:eastAsia="lt-LT"/>
              </w:rPr>
            </w:pPr>
            <w:r w:rsidRPr="00F47820">
              <w:rPr>
                <w:rFonts w:ascii="Times New Roman" w:hAnsi="Times New Roman"/>
                <w:sz w:val="24"/>
                <w:szCs w:val="24"/>
              </w:rPr>
              <w:lastRenderedPageBreak/>
              <w:t xml:space="preserve">             </w:t>
            </w:r>
            <w:r w:rsidRPr="00F464D9">
              <w:rPr>
                <w:rFonts w:ascii="Times New Roman" w:hAnsi="Times New Roman"/>
                <w:sz w:val="24"/>
                <w:szCs w:val="24"/>
              </w:rPr>
              <w:t xml:space="preserve">Taisyklių 22 punkte nustatyta, kad pareiškėjas </w:t>
            </w:r>
            <w:r w:rsidRPr="00F464D9">
              <w:rPr>
                <w:rFonts w:ascii="Times New Roman" w:hAnsi="Times New Roman"/>
                <w:sz w:val="24"/>
                <w:szCs w:val="24"/>
                <w:lang w:eastAsia="lt-LT"/>
              </w:rPr>
              <w:t xml:space="preserve">turi užtikrinti tinkamą projekto finansavimo šaltinį – </w:t>
            </w:r>
            <w:r w:rsidRPr="00F464D9">
              <w:rPr>
                <w:rFonts w:ascii="Times New Roman" w:hAnsi="Times New Roman"/>
                <w:sz w:val="24"/>
                <w:szCs w:val="24"/>
                <w:shd w:val="clear" w:color="auto" w:fill="FFFFFF"/>
              </w:rPr>
              <w:t>skolintas lėšas, paramos lėšas, iš veiklos gautinas lėšas, nuosavas lėšas – kuris turi būti pagrįstas verslo plano, finansinių ataskaitų duomenimis.</w:t>
            </w:r>
            <w:r w:rsidRPr="00F464D9">
              <w:rPr>
                <w:rFonts w:ascii="Times New Roman" w:hAnsi="Times New Roman"/>
                <w:sz w:val="24"/>
                <w:szCs w:val="24"/>
                <w:lang w:eastAsia="lt-LT"/>
              </w:rPr>
              <w:t xml:space="preserve"> Skolintos lėšos pagrindžiamos kartu su paramos paraiška, pateikiant kredito įstaigos paskolos suteikimo galimybės patvirtinimo dokumentus. Paskolos ar išperkamosios nuomos / lizingo (finansinės nuomos) sutartis turi būti pateikta tada, kai pareiškėjas turi užtikrinti projekto išlaidų / investicijų finansavimą, t. y. paskolos ar išperkamosios nuomos / lizingo (finansinės nuomos) sutartis pateikiama su tuo mokėjimo prašymu, kuriuo yra prašoma apmokėti patirtas išlaidas / investicijas, panaudojant skolintas lėšas.</w:t>
            </w:r>
            <w:r w:rsidRPr="00F464D9">
              <w:rPr>
                <w:rFonts w:ascii="Times New Roman" w:hAnsi="Times New Roman"/>
                <w:color w:val="000000"/>
                <w:sz w:val="24"/>
                <w:szCs w:val="24"/>
              </w:rPr>
              <w:t xml:space="preserve"> </w:t>
            </w:r>
            <w:r w:rsidRPr="00F464D9">
              <w:rPr>
                <w:rFonts w:ascii="Times New Roman" w:hAnsi="Times New Roman"/>
                <w:sz w:val="24"/>
                <w:szCs w:val="24"/>
                <w:lang w:eastAsia="lt-LT"/>
              </w:rPr>
              <w:t xml:space="preserve">Agentūra neatsako už kreditoriaus turimų lėšų patikimumą, realumą, prievolių vykdymą Lietuvos Respublikos teisės aktų nustatyta tvarka bei už kreditoriaus ir paskolos gavėjo įsipareigojimų nevykdymą. </w:t>
            </w:r>
          </w:p>
          <w:p w14:paraId="73CA9BEB" w14:textId="77777777" w:rsidR="00AE6E2B" w:rsidRPr="00F464D9" w:rsidRDefault="00AE6E2B" w:rsidP="00AE6E2B">
            <w:pPr>
              <w:spacing w:after="0" w:line="259" w:lineRule="auto"/>
              <w:jc w:val="both"/>
              <w:rPr>
                <w:rFonts w:ascii="Times New Roman" w:hAnsi="Times New Roman"/>
                <w:sz w:val="24"/>
                <w:szCs w:val="24"/>
                <w:lang w:eastAsia="lt-LT"/>
              </w:rPr>
            </w:pPr>
            <w:r w:rsidRPr="00F47820">
              <w:rPr>
                <w:rFonts w:ascii="Times New Roman" w:hAnsi="Times New Roman"/>
                <w:sz w:val="24"/>
                <w:szCs w:val="24"/>
              </w:rPr>
              <w:t xml:space="preserve">             </w:t>
            </w:r>
            <w:r w:rsidRPr="00F464D9">
              <w:rPr>
                <w:rFonts w:ascii="Times New Roman" w:hAnsi="Times New Roman"/>
                <w:sz w:val="24"/>
                <w:szCs w:val="24"/>
                <w:lang w:eastAsia="lt-LT"/>
              </w:rPr>
              <w:t>Pareiškėja paraiškos VII skyriuje „Projekto finansavimo šaltiniai“ nurodė, kad projektą finansuos paramos lėšomis 497</w:t>
            </w:r>
            <w:r>
              <w:rPr>
                <w:rFonts w:ascii="Times New Roman" w:hAnsi="Times New Roman"/>
                <w:sz w:val="24"/>
                <w:szCs w:val="24"/>
                <w:lang w:eastAsia="lt-LT"/>
              </w:rPr>
              <w:t xml:space="preserve"> </w:t>
            </w:r>
            <w:r w:rsidRPr="00F464D9">
              <w:rPr>
                <w:rFonts w:ascii="Times New Roman" w:hAnsi="Times New Roman"/>
                <w:sz w:val="24"/>
                <w:szCs w:val="24"/>
                <w:lang w:eastAsia="lt-LT"/>
              </w:rPr>
              <w:t xml:space="preserve">314 Eur, t. y. visa prašoma paramos suma, ir kredito įstaigos paskolos lėšomis </w:t>
            </w:r>
            <w:r>
              <w:rPr>
                <w:rFonts w:ascii="Times New Roman" w:hAnsi="Times New Roman"/>
                <w:sz w:val="24"/>
                <w:szCs w:val="24"/>
                <w:lang w:eastAsia="lt-LT"/>
              </w:rPr>
              <w:t xml:space="preserve">                        </w:t>
            </w:r>
            <w:r w:rsidRPr="00F464D9">
              <w:rPr>
                <w:rFonts w:ascii="Times New Roman" w:hAnsi="Times New Roman"/>
                <w:sz w:val="24"/>
                <w:szCs w:val="24"/>
                <w:lang w:eastAsia="lt-LT"/>
              </w:rPr>
              <w:t>705</w:t>
            </w:r>
            <w:r>
              <w:rPr>
                <w:rFonts w:ascii="Times New Roman" w:hAnsi="Times New Roman"/>
                <w:sz w:val="24"/>
                <w:szCs w:val="24"/>
                <w:lang w:eastAsia="lt-LT"/>
              </w:rPr>
              <w:t xml:space="preserve"> </w:t>
            </w:r>
            <w:r w:rsidRPr="00F464D9">
              <w:rPr>
                <w:rFonts w:ascii="Times New Roman" w:hAnsi="Times New Roman"/>
                <w:sz w:val="24"/>
                <w:szCs w:val="24"/>
                <w:lang w:eastAsia="lt-LT"/>
              </w:rPr>
              <w:t xml:space="preserve">503,68 Eur. Projektą planuoja įgyvendinti 4 etapais. Skolintų lėšų pagrindimui </w:t>
            </w:r>
            <w:r>
              <w:rPr>
                <w:rFonts w:ascii="Times New Roman" w:hAnsi="Times New Roman"/>
                <w:sz w:val="24"/>
                <w:szCs w:val="24"/>
                <w:lang w:eastAsia="lt-LT"/>
              </w:rPr>
              <w:t xml:space="preserve">pareiškėja </w:t>
            </w:r>
            <w:r w:rsidRPr="00F464D9">
              <w:rPr>
                <w:rFonts w:ascii="Times New Roman" w:hAnsi="Times New Roman"/>
                <w:sz w:val="24"/>
                <w:szCs w:val="24"/>
                <w:lang w:eastAsia="lt-LT"/>
              </w:rPr>
              <w:t>pateikė 2017 m. birželio 15 d. UAB „Sostinės kreditai“ raštą, kuriame nurodoma, jog raštas skirtas dėl finansavimo galimybės projektui „Juodupės žuvų auginimo ir perdirbimo gamykla“. Tuo tarpu paraiškos II skyriaus 2 punkto duomenimis, projekto, kuriam prašoma paramos</w:t>
            </w:r>
            <w:r>
              <w:rPr>
                <w:rFonts w:ascii="Times New Roman" w:hAnsi="Times New Roman"/>
                <w:sz w:val="24"/>
                <w:szCs w:val="24"/>
                <w:lang w:eastAsia="lt-LT"/>
              </w:rPr>
              <w:t>,</w:t>
            </w:r>
            <w:r w:rsidRPr="00F464D9">
              <w:rPr>
                <w:rFonts w:ascii="Times New Roman" w:hAnsi="Times New Roman"/>
                <w:sz w:val="24"/>
                <w:szCs w:val="24"/>
                <w:lang w:eastAsia="lt-LT"/>
              </w:rPr>
              <w:t xml:space="preserve"> pavadinimas</w:t>
            </w:r>
            <w:r>
              <w:rPr>
                <w:rFonts w:ascii="Times New Roman" w:hAnsi="Times New Roman"/>
                <w:sz w:val="24"/>
                <w:szCs w:val="24"/>
                <w:lang w:eastAsia="lt-LT"/>
              </w:rPr>
              <w:t xml:space="preserve"> yra</w:t>
            </w:r>
            <w:r w:rsidRPr="00F464D9">
              <w:rPr>
                <w:rFonts w:ascii="Times New Roman" w:hAnsi="Times New Roman"/>
                <w:sz w:val="24"/>
                <w:szCs w:val="24"/>
                <w:lang w:eastAsia="lt-LT"/>
              </w:rPr>
              <w:t xml:space="preserve"> „UAB „</w:t>
            </w:r>
            <w:proofErr w:type="spellStart"/>
            <w:r w:rsidRPr="00F464D9">
              <w:rPr>
                <w:rFonts w:ascii="Times New Roman" w:hAnsi="Times New Roman"/>
                <w:sz w:val="24"/>
                <w:szCs w:val="24"/>
                <w:lang w:eastAsia="lt-LT"/>
              </w:rPr>
              <w:t>Deivilas</w:t>
            </w:r>
            <w:proofErr w:type="spellEnd"/>
            <w:r w:rsidRPr="00F464D9">
              <w:rPr>
                <w:rFonts w:ascii="Times New Roman" w:hAnsi="Times New Roman"/>
                <w:sz w:val="24"/>
                <w:szCs w:val="24"/>
                <w:lang w:eastAsia="lt-LT"/>
              </w:rPr>
              <w:t>“ konkurencingumo bei gyvybingumo didinimas, įskaitant saugos ir darbo sąlygų gerinimą“.</w:t>
            </w:r>
            <w:r w:rsidRPr="00F47820">
              <w:rPr>
                <w:rFonts w:ascii="Times New Roman" w:hAnsi="Times New Roman"/>
                <w:sz w:val="24"/>
                <w:szCs w:val="24"/>
                <w:lang w:eastAsia="lt-LT"/>
              </w:rPr>
              <w:t xml:space="preserve"> </w:t>
            </w:r>
            <w:r w:rsidRPr="00F464D9">
              <w:rPr>
                <w:rFonts w:ascii="Times New Roman" w:hAnsi="Times New Roman"/>
                <w:sz w:val="24"/>
                <w:szCs w:val="24"/>
                <w:lang w:eastAsia="lt-LT"/>
              </w:rPr>
              <w:t>Kaip finansavimo šaltinį pareiškėja nurodė visą prašomą paramos sumą, nors paramos lėšas projektui finansuoti pareiškėja galės panaudoti tik 1</w:t>
            </w:r>
            <w:r>
              <w:rPr>
                <w:rFonts w:ascii="Times New Roman" w:hAnsi="Times New Roman"/>
                <w:sz w:val="24"/>
                <w:szCs w:val="24"/>
                <w:lang w:eastAsia="lt-LT"/>
              </w:rPr>
              <w:t>–</w:t>
            </w:r>
            <w:r w:rsidRPr="00F464D9">
              <w:rPr>
                <w:rFonts w:ascii="Times New Roman" w:hAnsi="Times New Roman"/>
                <w:sz w:val="24"/>
                <w:szCs w:val="24"/>
                <w:lang w:eastAsia="lt-LT"/>
              </w:rPr>
              <w:t>3 projekto įgyvendinimo etapų paramos lėšas, t. y. 362</w:t>
            </w:r>
            <w:r>
              <w:rPr>
                <w:rFonts w:ascii="Times New Roman" w:hAnsi="Times New Roman"/>
                <w:sz w:val="24"/>
                <w:szCs w:val="24"/>
                <w:lang w:eastAsia="lt-LT"/>
              </w:rPr>
              <w:t xml:space="preserve"> </w:t>
            </w:r>
            <w:r w:rsidRPr="00F464D9">
              <w:rPr>
                <w:rFonts w:ascii="Times New Roman" w:hAnsi="Times New Roman"/>
                <w:sz w:val="24"/>
                <w:szCs w:val="24"/>
                <w:lang w:eastAsia="lt-LT"/>
              </w:rPr>
              <w:t xml:space="preserve">753 Eur, nes Taisyklių </w:t>
            </w:r>
            <w:r>
              <w:rPr>
                <w:rFonts w:ascii="Times New Roman" w:hAnsi="Times New Roman"/>
                <w:sz w:val="24"/>
                <w:szCs w:val="24"/>
                <w:lang w:eastAsia="lt-LT"/>
              </w:rPr>
              <w:t>67</w:t>
            </w:r>
            <w:r w:rsidRPr="00F464D9">
              <w:rPr>
                <w:rFonts w:ascii="Times New Roman" w:hAnsi="Times New Roman"/>
                <w:sz w:val="24"/>
                <w:szCs w:val="24"/>
                <w:lang w:eastAsia="lt-LT"/>
              </w:rPr>
              <w:t xml:space="preserve"> punkte nustatyta, kad priemonei taikomas paramos išmokėjimo būdas – išlaidų kompensavimas, t. y. </w:t>
            </w:r>
            <w:r w:rsidRPr="00F464D9">
              <w:rPr>
                <w:rFonts w:ascii="Times New Roman" w:hAnsi="Times New Roman"/>
                <w:color w:val="000000"/>
                <w:sz w:val="24"/>
                <w:szCs w:val="24"/>
                <w:shd w:val="clear" w:color="auto" w:fill="FFFFFF"/>
              </w:rPr>
              <w:t>paramos gavėjas pradeda įgyvendinti projektą iš nuosavų lėšų ir (arba) skolintų lėšų ir pagal faktiškai patirtas išlaidas yra išmokama parama.</w:t>
            </w:r>
            <w:r w:rsidRPr="00F464D9">
              <w:rPr>
                <w:rFonts w:ascii="Times New Roman" w:hAnsi="Times New Roman"/>
                <w:sz w:val="24"/>
                <w:szCs w:val="24"/>
                <w:lang w:eastAsia="lt-LT"/>
              </w:rPr>
              <w:t xml:space="preserve"> </w:t>
            </w:r>
          </w:p>
          <w:p w14:paraId="3ECC891F" w14:textId="77777777" w:rsidR="00AE6E2B" w:rsidRPr="00F464D9" w:rsidRDefault="00AE6E2B" w:rsidP="00AE6E2B">
            <w:pPr>
              <w:spacing w:after="0" w:line="259" w:lineRule="auto"/>
              <w:jc w:val="both"/>
              <w:rPr>
                <w:rFonts w:ascii="Times New Roman" w:hAnsi="Times New Roman"/>
                <w:sz w:val="24"/>
                <w:szCs w:val="24"/>
              </w:rPr>
            </w:pPr>
            <w:r w:rsidRPr="00F47820">
              <w:rPr>
                <w:rFonts w:ascii="Times New Roman" w:hAnsi="Times New Roman"/>
                <w:sz w:val="24"/>
                <w:szCs w:val="24"/>
              </w:rPr>
              <w:t xml:space="preserve">             </w:t>
            </w:r>
            <w:r w:rsidRPr="00F464D9">
              <w:rPr>
                <w:rFonts w:ascii="Times New Roman" w:hAnsi="Times New Roman"/>
                <w:sz w:val="24"/>
                <w:szCs w:val="24"/>
              </w:rPr>
              <w:t xml:space="preserve">Dėl atitikties šiame </w:t>
            </w:r>
            <w:r>
              <w:rPr>
                <w:rFonts w:ascii="Times New Roman" w:hAnsi="Times New Roman"/>
                <w:sz w:val="24"/>
                <w:szCs w:val="24"/>
              </w:rPr>
              <w:t xml:space="preserve">Taisyklių </w:t>
            </w:r>
            <w:r w:rsidRPr="00F464D9">
              <w:rPr>
                <w:rFonts w:ascii="Times New Roman" w:hAnsi="Times New Roman"/>
                <w:sz w:val="24"/>
                <w:szCs w:val="24"/>
              </w:rPr>
              <w:t>punkte nustatyt</w:t>
            </w:r>
            <w:r>
              <w:rPr>
                <w:rFonts w:ascii="Times New Roman" w:hAnsi="Times New Roman"/>
                <w:sz w:val="24"/>
                <w:szCs w:val="24"/>
              </w:rPr>
              <w:t>am</w:t>
            </w:r>
            <w:r w:rsidRPr="00F464D9">
              <w:rPr>
                <w:rFonts w:ascii="Times New Roman" w:hAnsi="Times New Roman"/>
                <w:sz w:val="24"/>
                <w:szCs w:val="24"/>
              </w:rPr>
              <w:t xml:space="preserve"> tinkamumo kriterijui, vadovaujantis Lietuvos žuvininkystės sektoriaus 2014–2020 metų veiksmų programos administravimo taisyklių, patvirtintų Lietuvos Respublikos žemės ūkio ministro 2015 m. vasario 9 d. įsakymu Nr. 3D-75 „Dėl Lietuvos žuvininkystės sektoriaus 2014–2020 metų veiksmų programos administravimo taisyklių patvirtinimo“ (toliau – Administravimo taisyklės), 71 punktu, kuriame numatyta, jog iškilus klausimams, susijusiems su paramos paraiškos vertinimu ir (arba) projekto vykdymu ar pareiškėjo veikla, pareiškėjo gali būti paprašyta pateikti papildomų dokumentų, </w:t>
            </w:r>
            <w:r>
              <w:rPr>
                <w:rFonts w:ascii="Times New Roman" w:hAnsi="Times New Roman"/>
                <w:sz w:val="24"/>
                <w:szCs w:val="24"/>
              </w:rPr>
              <w:t>p</w:t>
            </w:r>
            <w:r w:rsidRPr="00F464D9">
              <w:rPr>
                <w:rFonts w:ascii="Times New Roman" w:hAnsi="Times New Roman"/>
                <w:sz w:val="24"/>
                <w:szCs w:val="24"/>
              </w:rPr>
              <w:t xml:space="preserve">areiškėjai buvo rašyti 3 </w:t>
            </w:r>
            <w:r>
              <w:rPr>
                <w:rFonts w:ascii="Times New Roman" w:hAnsi="Times New Roman"/>
                <w:sz w:val="24"/>
                <w:szCs w:val="24"/>
              </w:rPr>
              <w:t>paklausimai</w:t>
            </w:r>
            <w:r w:rsidRPr="00F464D9">
              <w:rPr>
                <w:rFonts w:ascii="Times New Roman" w:hAnsi="Times New Roman"/>
                <w:sz w:val="24"/>
                <w:szCs w:val="24"/>
              </w:rPr>
              <w:t xml:space="preserve">: 2017 m. rugsėjo 11 d. registracijos Nr. BR6-9360, 2017 m. lapkričio 3 d. registracijos Nr. BR6-11674 (toliau – </w:t>
            </w:r>
            <w:r>
              <w:rPr>
                <w:rFonts w:ascii="Times New Roman" w:hAnsi="Times New Roman"/>
                <w:sz w:val="24"/>
                <w:szCs w:val="24"/>
              </w:rPr>
              <w:t>antrasis p</w:t>
            </w:r>
            <w:r w:rsidRPr="00F464D9">
              <w:rPr>
                <w:rFonts w:ascii="Times New Roman" w:hAnsi="Times New Roman"/>
                <w:sz w:val="24"/>
                <w:szCs w:val="24"/>
              </w:rPr>
              <w:t xml:space="preserve">aklausimas) ir 2017 m. gruodžio 8 d. registracijos Nr. BR6-12869 (toliau – </w:t>
            </w:r>
            <w:r>
              <w:rPr>
                <w:rFonts w:ascii="Times New Roman" w:hAnsi="Times New Roman"/>
                <w:sz w:val="24"/>
                <w:szCs w:val="24"/>
              </w:rPr>
              <w:t>trečiasis p</w:t>
            </w:r>
            <w:r w:rsidRPr="00F464D9">
              <w:rPr>
                <w:rFonts w:ascii="Times New Roman" w:hAnsi="Times New Roman"/>
                <w:sz w:val="24"/>
                <w:szCs w:val="24"/>
              </w:rPr>
              <w:t xml:space="preserve">aklausimas). </w:t>
            </w:r>
          </w:p>
          <w:p w14:paraId="47B542C0" w14:textId="77777777" w:rsidR="00AE6E2B" w:rsidRPr="00F464D9" w:rsidRDefault="00AE6E2B" w:rsidP="00AE6E2B">
            <w:pPr>
              <w:spacing w:after="0" w:line="259" w:lineRule="auto"/>
              <w:jc w:val="both"/>
              <w:rPr>
                <w:rFonts w:ascii="Times New Roman" w:hAnsi="Times New Roman"/>
                <w:sz w:val="24"/>
                <w:szCs w:val="24"/>
                <w:lang w:eastAsia="lt-LT"/>
              </w:rPr>
            </w:pPr>
            <w:r w:rsidRPr="00F47820">
              <w:rPr>
                <w:rFonts w:ascii="Times New Roman" w:hAnsi="Times New Roman"/>
                <w:sz w:val="24"/>
                <w:szCs w:val="24"/>
              </w:rPr>
              <w:lastRenderedPageBreak/>
              <w:t xml:space="preserve">             </w:t>
            </w:r>
            <w:r w:rsidRPr="00F464D9">
              <w:rPr>
                <w:rFonts w:ascii="Times New Roman" w:hAnsi="Times New Roman"/>
                <w:sz w:val="24"/>
                <w:szCs w:val="24"/>
              </w:rPr>
              <w:t xml:space="preserve">Pareiškėja 2017 m. gruodžio 27 d. atsakyme į </w:t>
            </w:r>
            <w:r>
              <w:rPr>
                <w:rFonts w:ascii="Times New Roman" w:hAnsi="Times New Roman"/>
                <w:sz w:val="24"/>
                <w:szCs w:val="24"/>
              </w:rPr>
              <w:t>trečiąjį p</w:t>
            </w:r>
            <w:r w:rsidRPr="00F464D9">
              <w:rPr>
                <w:rFonts w:ascii="Times New Roman" w:hAnsi="Times New Roman"/>
                <w:sz w:val="24"/>
                <w:szCs w:val="24"/>
              </w:rPr>
              <w:t xml:space="preserve">aklausimą (registracijos Nr. BR5.3-2932) pakoregavo paraiškos </w:t>
            </w:r>
            <w:r w:rsidRPr="00F464D9">
              <w:rPr>
                <w:rFonts w:ascii="Times New Roman" w:hAnsi="Times New Roman"/>
                <w:sz w:val="24"/>
                <w:szCs w:val="24"/>
                <w:lang w:eastAsia="lt-LT"/>
              </w:rPr>
              <w:t xml:space="preserve">VII skyriuje „Projekto finansavimo šaltiniai“ duomenis, nurodydama projekto finansavimo šaltinius: paramos lėšos </w:t>
            </w:r>
            <w:r>
              <w:rPr>
                <w:rFonts w:ascii="Times New Roman" w:hAnsi="Times New Roman"/>
                <w:sz w:val="24"/>
                <w:szCs w:val="24"/>
                <w:lang w:eastAsia="lt-LT"/>
              </w:rPr>
              <w:t xml:space="preserve">– </w:t>
            </w:r>
            <w:r w:rsidRPr="00F464D9">
              <w:rPr>
                <w:rFonts w:ascii="Times New Roman" w:hAnsi="Times New Roman"/>
                <w:sz w:val="24"/>
                <w:szCs w:val="24"/>
                <w:lang w:eastAsia="lt-LT"/>
              </w:rPr>
              <w:t>362</w:t>
            </w:r>
            <w:r>
              <w:rPr>
                <w:rFonts w:ascii="Times New Roman" w:hAnsi="Times New Roman"/>
                <w:sz w:val="24"/>
                <w:szCs w:val="24"/>
                <w:lang w:eastAsia="lt-LT"/>
              </w:rPr>
              <w:t xml:space="preserve"> </w:t>
            </w:r>
            <w:r w:rsidRPr="00F464D9">
              <w:rPr>
                <w:rFonts w:ascii="Times New Roman" w:hAnsi="Times New Roman"/>
                <w:sz w:val="24"/>
                <w:szCs w:val="24"/>
                <w:lang w:eastAsia="lt-LT"/>
              </w:rPr>
              <w:t xml:space="preserve">753 Eur, pareiškėjos iš veiklos gautinos lėšos </w:t>
            </w:r>
            <w:r>
              <w:rPr>
                <w:rFonts w:ascii="Times New Roman" w:hAnsi="Times New Roman"/>
                <w:sz w:val="24"/>
                <w:szCs w:val="24"/>
                <w:lang w:eastAsia="lt-LT"/>
              </w:rPr>
              <w:t xml:space="preserve">– </w:t>
            </w:r>
            <w:r w:rsidRPr="00F464D9">
              <w:rPr>
                <w:rFonts w:ascii="Times New Roman" w:hAnsi="Times New Roman"/>
                <w:sz w:val="24"/>
                <w:szCs w:val="24"/>
                <w:lang w:eastAsia="lt-LT"/>
              </w:rPr>
              <w:t>150</w:t>
            </w:r>
            <w:r>
              <w:rPr>
                <w:rFonts w:ascii="Times New Roman" w:hAnsi="Times New Roman"/>
                <w:sz w:val="24"/>
                <w:szCs w:val="24"/>
                <w:lang w:eastAsia="lt-LT"/>
              </w:rPr>
              <w:t xml:space="preserve"> </w:t>
            </w:r>
            <w:r w:rsidRPr="00F464D9">
              <w:rPr>
                <w:rFonts w:ascii="Times New Roman" w:hAnsi="Times New Roman"/>
                <w:sz w:val="24"/>
                <w:szCs w:val="24"/>
                <w:lang w:eastAsia="lt-LT"/>
              </w:rPr>
              <w:t xml:space="preserve">064,58 Eur ir paskolos lėšos </w:t>
            </w:r>
            <w:r>
              <w:rPr>
                <w:rFonts w:ascii="Times New Roman" w:hAnsi="Times New Roman"/>
                <w:sz w:val="24"/>
                <w:szCs w:val="24"/>
                <w:lang w:eastAsia="lt-LT"/>
              </w:rPr>
              <w:t xml:space="preserve">– </w:t>
            </w:r>
            <w:r w:rsidRPr="00F464D9">
              <w:rPr>
                <w:rFonts w:ascii="Times New Roman" w:hAnsi="Times New Roman"/>
                <w:sz w:val="24"/>
                <w:szCs w:val="24"/>
                <w:lang w:eastAsia="lt-LT"/>
              </w:rPr>
              <w:t>690</w:t>
            </w:r>
            <w:r>
              <w:rPr>
                <w:rFonts w:ascii="Times New Roman" w:hAnsi="Times New Roman"/>
                <w:sz w:val="24"/>
                <w:szCs w:val="24"/>
                <w:lang w:eastAsia="lt-LT"/>
              </w:rPr>
              <w:t xml:space="preserve"> </w:t>
            </w:r>
            <w:r w:rsidRPr="00F464D9">
              <w:rPr>
                <w:rFonts w:ascii="Times New Roman" w:hAnsi="Times New Roman"/>
                <w:sz w:val="24"/>
                <w:szCs w:val="24"/>
                <w:lang w:eastAsia="lt-LT"/>
              </w:rPr>
              <w:t>000 Eur.</w:t>
            </w:r>
            <w:r w:rsidRPr="00F464D9">
              <w:rPr>
                <w:rFonts w:ascii="Times New Roman" w:hAnsi="Times New Roman"/>
                <w:sz w:val="24"/>
                <w:szCs w:val="24"/>
              </w:rPr>
              <w:t xml:space="preserve"> Taip pat pateikė patikslintą 2017 m. gruodžio 15 d. </w:t>
            </w:r>
            <w:r w:rsidRPr="00F464D9">
              <w:rPr>
                <w:rFonts w:ascii="Times New Roman" w:hAnsi="Times New Roman"/>
                <w:sz w:val="24"/>
                <w:szCs w:val="24"/>
                <w:lang w:eastAsia="lt-LT"/>
              </w:rPr>
              <w:t xml:space="preserve">UAB „Sostinės kreditai“ raštą „Dėl projekto „Juodupės žuvų auginimo ir perdirbimo gamykla“ finansavimo galimybės“, kuriame kredito įstaigos planuojamo finansuoti projekto pavadinimas nesutampa su </w:t>
            </w:r>
            <w:r>
              <w:rPr>
                <w:rFonts w:ascii="Times New Roman" w:hAnsi="Times New Roman"/>
                <w:sz w:val="24"/>
                <w:szCs w:val="24"/>
                <w:lang w:eastAsia="lt-LT"/>
              </w:rPr>
              <w:t>p</w:t>
            </w:r>
            <w:r w:rsidRPr="00F464D9">
              <w:rPr>
                <w:rFonts w:ascii="Times New Roman" w:hAnsi="Times New Roman"/>
                <w:sz w:val="24"/>
                <w:szCs w:val="24"/>
                <w:lang w:eastAsia="lt-LT"/>
              </w:rPr>
              <w:t xml:space="preserve">areiškėjos projekto pavadinimu, kuriam </w:t>
            </w:r>
            <w:r>
              <w:rPr>
                <w:rFonts w:ascii="Times New Roman" w:hAnsi="Times New Roman"/>
                <w:sz w:val="24"/>
                <w:szCs w:val="24"/>
                <w:lang w:eastAsia="lt-LT"/>
              </w:rPr>
              <w:t xml:space="preserve">pareiškėja </w:t>
            </w:r>
            <w:r w:rsidRPr="00F464D9">
              <w:rPr>
                <w:rFonts w:ascii="Times New Roman" w:hAnsi="Times New Roman"/>
                <w:sz w:val="24"/>
                <w:szCs w:val="24"/>
                <w:lang w:eastAsia="lt-LT"/>
              </w:rPr>
              <w:t xml:space="preserve">prašo paramos ir kuriam numato galimybę suteikti 726 000 Eur paskolą, paskolos sumą užtikrinant prievolės priemonėmis nekilnojamųjų ir kilnojamųjų daiktų </w:t>
            </w:r>
            <w:r>
              <w:rPr>
                <w:rFonts w:ascii="Times New Roman" w:hAnsi="Times New Roman"/>
                <w:sz w:val="24"/>
                <w:szCs w:val="24"/>
                <w:lang w:eastAsia="lt-LT"/>
              </w:rPr>
              <w:t>didžiaus</w:t>
            </w:r>
            <w:r w:rsidRPr="00F464D9">
              <w:rPr>
                <w:rFonts w:ascii="Times New Roman" w:hAnsi="Times New Roman"/>
                <w:sz w:val="24"/>
                <w:szCs w:val="24"/>
                <w:lang w:eastAsia="lt-LT"/>
              </w:rPr>
              <w:t xml:space="preserve">iu įkeitimu. </w:t>
            </w:r>
          </w:p>
          <w:p w14:paraId="0FCEAD73" w14:textId="77777777" w:rsidR="00AE6E2B" w:rsidRPr="00F464D9" w:rsidRDefault="00AE6E2B" w:rsidP="00AE6E2B">
            <w:pPr>
              <w:spacing w:after="0" w:line="259" w:lineRule="auto"/>
              <w:jc w:val="both"/>
              <w:rPr>
                <w:rFonts w:ascii="Times New Roman" w:hAnsi="Times New Roman"/>
                <w:sz w:val="24"/>
                <w:szCs w:val="24"/>
                <w:lang w:eastAsia="lt-LT"/>
              </w:rPr>
            </w:pPr>
            <w:r w:rsidRPr="00F47820">
              <w:rPr>
                <w:rFonts w:ascii="Times New Roman" w:hAnsi="Times New Roman"/>
                <w:sz w:val="24"/>
                <w:szCs w:val="24"/>
              </w:rPr>
              <w:t xml:space="preserve">             </w:t>
            </w:r>
            <w:r w:rsidRPr="00F464D9">
              <w:rPr>
                <w:rFonts w:ascii="Times New Roman" w:hAnsi="Times New Roman"/>
                <w:sz w:val="24"/>
                <w:szCs w:val="24"/>
                <w:lang w:eastAsia="lt-LT"/>
              </w:rPr>
              <w:t>UAB „Sostinės kreditai“ Lietuvos banko duomenimis yra įtraukta į Viešąjį vartojimo kredito davėjų sąrašą, tačiau nėra Viešojo kredito davėjų, veikiančių pagal Lietuvos Respublikos su nekilnojamuoju turtu susijusio kredito įstatymą, sąraše</w:t>
            </w:r>
            <w:r>
              <w:rPr>
                <w:rFonts w:ascii="Times New Roman" w:hAnsi="Times New Roman"/>
                <w:sz w:val="24"/>
                <w:szCs w:val="24"/>
                <w:lang w:eastAsia="lt-LT"/>
              </w:rPr>
              <w:t>.</w:t>
            </w:r>
            <w:r w:rsidRPr="00F464D9">
              <w:rPr>
                <w:rFonts w:ascii="Times New Roman" w:hAnsi="Times New Roman"/>
                <w:sz w:val="24"/>
                <w:szCs w:val="24"/>
                <w:lang w:eastAsia="lt-LT"/>
              </w:rPr>
              <w:t xml:space="preserve"> </w:t>
            </w:r>
          </w:p>
          <w:p w14:paraId="06E0C542" w14:textId="77777777" w:rsidR="00AE6E2B" w:rsidRPr="00F464D9" w:rsidRDefault="00AE6E2B" w:rsidP="00AE6E2B">
            <w:pPr>
              <w:spacing w:after="0" w:line="259" w:lineRule="auto"/>
              <w:jc w:val="both"/>
              <w:rPr>
                <w:rFonts w:ascii="Times New Roman" w:hAnsi="Times New Roman"/>
                <w:sz w:val="24"/>
                <w:szCs w:val="24"/>
              </w:rPr>
            </w:pPr>
            <w:r w:rsidRPr="00F47820">
              <w:rPr>
                <w:rFonts w:ascii="Times New Roman" w:hAnsi="Times New Roman"/>
                <w:sz w:val="24"/>
                <w:szCs w:val="24"/>
              </w:rPr>
              <w:t xml:space="preserve">             </w:t>
            </w:r>
            <w:r w:rsidRPr="00F464D9">
              <w:rPr>
                <w:rFonts w:ascii="Times New Roman" w:hAnsi="Times New Roman"/>
                <w:sz w:val="24"/>
                <w:szCs w:val="24"/>
                <w:lang w:eastAsia="lt-LT"/>
              </w:rPr>
              <w:t>Lietuvos Respublikos vartojimo kredito įstatymo 3 straipsnio „Įstatymo taikymo sritis“ 2 dalies 3 punkte nustatyta, kad šis įstatymas netaikomas „</w:t>
            </w:r>
            <w:r w:rsidRPr="00F464D9">
              <w:rPr>
                <w:rFonts w:ascii="Times New Roman" w:hAnsi="Times New Roman"/>
                <w:sz w:val="24"/>
                <w:szCs w:val="24"/>
              </w:rPr>
              <w:t>kredito sutartims, kai bendra suteikiamo kredito suma yra didesnė negu 75 000 eurų, išskyrus kredito sutartis, kurių įvykdymas neužtikrinamas nekilnojamojo turto hipoteka arba su nekilnojamuoju turtu susijusia teise ir kurių paskirtis yra gyvenamosios paskirties nekilnojamojo turto atnaujinimas (modernizacija) ar jo vertės padidinimas. Šis įstatymas visais atvejais netaikomas kredito sutartims, kurios sudaromos pagal Lietuvos Respublikos valstybės paramos daugiabučiams namams atnaujinti (modernizuoti) įstatymą“.</w:t>
            </w:r>
          </w:p>
          <w:p w14:paraId="77FC3C74" w14:textId="77777777" w:rsidR="00AE6E2B" w:rsidRPr="00F464D9" w:rsidRDefault="00AE6E2B" w:rsidP="00AE6E2B">
            <w:pPr>
              <w:spacing w:after="0" w:line="259" w:lineRule="auto"/>
              <w:jc w:val="both"/>
              <w:rPr>
                <w:rFonts w:ascii="Times New Roman" w:hAnsi="Times New Roman"/>
                <w:color w:val="000000"/>
                <w:sz w:val="24"/>
                <w:szCs w:val="24"/>
              </w:rPr>
            </w:pPr>
            <w:r w:rsidRPr="00F47820">
              <w:rPr>
                <w:rFonts w:ascii="Times New Roman" w:hAnsi="Times New Roman"/>
                <w:sz w:val="24"/>
                <w:szCs w:val="24"/>
              </w:rPr>
              <w:t xml:space="preserve">             </w:t>
            </w:r>
            <w:r w:rsidRPr="00F464D9">
              <w:rPr>
                <w:rFonts w:ascii="Times New Roman" w:hAnsi="Times New Roman"/>
                <w:sz w:val="24"/>
                <w:szCs w:val="24"/>
              </w:rPr>
              <w:t>Lietuvos Respublikos su nekilnojamuoju turtu susijusio kredito įstatymo 25 straipsnio 1 dalyje nustatyta, kad „</w:t>
            </w:r>
            <w:r w:rsidRPr="00F464D9">
              <w:rPr>
                <w:rFonts w:ascii="Times New Roman" w:hAnsi="Times New Roman"/>
                <w:sz w:val="24"/>
                <w:szCs w:val="24"/>
                <w:lang w:eastAsia="lt-LT"/>
              </w:rPr>
              <w:t>Teisę verstis kredito teikimo veikla asmuo turi tik tada, kai priežiūros institucija įrašo jį į viešąjį kredito davėjų sąrašą“.</w:t>
            </w:r>
          </w:p>
          <w:p w14:paraId="22A83949" w14:textId="77777777" w:rsidR="00AE6E2B" w:rsidRPr="00F464D9" w:rsidRDefault="00AE6E2B" w:rsidP="00AE6E2B">
            <w:pPr>
              <w:spacing w:after="0" w:line="259" w:lineRule="auto"/>
              <w:jc w:val="both"/>
              <w:rPr>
                <w:rFonts w:ascii="Times New Roman" w:hAnsi="Times New Roman"/>
                <w:sz w:val="24"/>
                <w:szCs w:val="24"/>
                <w:lang w:eastAsia="lt-LT"/>
              </w:rPr>
            </w:pPr>
            <w:r w:rsidRPr="00F47820">
              <w:rPr>
                <w:rFonts w:ascii="Times New Roman" w:hAnsi="Times New Roman"/>
                <w:sz w:val="24"/>
                <w:szCs w:val="24"/>
              </w:rPr>
              <w:t xml:space="preserve">             </w:t>
            </w:r>
            <w:r w:rsidRPr="00F464D9">
              <w:rPr>
                <w:rFonts w:ascii="Times New Roman" w:hAnsi="Times New Roman"/>
                <w:sz w:val="24"/>
                <w:szCs w:val="24"/>
                <w:lang w:eastAsia="lt-LT"/>
              </w:rPr>
              <w:t xml:space="preserve">Atsižvelgiant į tai, kas </w:t>
            </w:r>
            <w:r>
              <w:rPr>
                <w:rFonts w:ascii="Times New Roman" w:hAnsi="Times New Roman"/>
                <w:sz w:val="24"/>
                <w:szCs w:val="24"/>
                <w:lang w:eastAsia="lt-LT"/>
              </w:rPr>
              <w:t>išdėstyta</w:t>
            </w:r>
            <w:r w:rsidRPr="00F464D9">
              <w:rPr>
                <w:rFonts w:ascii="Times New Roman" w:hAnsi="Times New Roman"/>
                <w:sz w:val="24"/>
                <w:szCs w:val="24"/>
                <w:lang w:eastAsia="lt-LT"/>
              </w:rPr>
              <w:t>, UAB „Sostinės kreditai“ raštas nepagrindžia paskolos (726</w:t>
            </w:r>
            <w:r>
              <w:rPr>
                <w:rFonts w:ascii="Times New Roman" w:hAnsi="Times New Roman"/>
                <w:sz w:val="24"/>
                <w:szCs w:val="24"/>
                <w:lang w:eastAsia="lt-LT"/>
              </w:rPr>
              <w:t xml:space="preserve"> </w:t>
            </w:r>
            <w:r w:rsidRPr="00F464D9">
              <w:rPr>
                <w:rFonts w:ascii="Times New Roman" w:hAnsi="Times New Roman"/>
                <w:sz w:val="24"/>
                <w:szCs w:val="24"/>
                <w:lang w:eastAsia="lt-LT"/>
              </w:rPr>
              <w:t>000 Eur) suteikimo galimybės, nes UAB „Sostinės kreditai“ neturi teisės teikti kredito, didesnio nei 75 000 Eur.</w:t>
            </w:r>
          </w:p>
          <w:p w14:paraId="2AAA64D6" w14:textId="77777777" w:rsidR="00AE6E2B" w:rsidRPr="00F464D9" w:rsidRDefault="00AE6E2B" w:rsidP="00AE6E2B">
            <w:pPr>
              <w:spacing w:after="0" w:line="259" w:lineRule="auto"/>
              <w:jc w:val="both"/>
              <w:rPr>
                <w:rFonts w:ascii="Times New Roman" w:hAnsi="Times New Roman"/>
                <w:sz w:val="24"/>
                <w:szCs w:val="24"/>
                <w:lang w:eastAsia="lt-LT"/>
              </w:rPr>
            </w:pPr>
            <w:r w:rsidRPr="00F47820">
              <w:rPr>
                <w:rFonts w:ascii="Times New Roman" w:hAnsi="Times New Roman"/>
                <w:sz w:val="24"/>
                <w:szCs w:val="24"/>
              </w:rPr>
              <w:t xml:space="preserve">             </w:t>
            </w:r>
            <w:r>
              <w:rPr>
                <w:rFonts w:ascii="Times New Roman" w:hAnsi="Times New Roman"/>
                <w:sz w:val="24"/>
                <w:szCs w:val="24"/>
              </w:rPr>
              <w:t>Prie p</w:t>
            </w:r>
            <w:r w:rsidRPr="00F464D9">
              <w:rPr>
                <w:rFonts w:ascii="Times New Roman" w:hAnsi="Times New Roman"/>
                <w:sz w:val="24"/>
                <w:szCs w:val="24"/>
                <w:lang w:eastAsia="lt-LT"/>
              </w:rPr>
              <w:t>areiškėjos</w:t>
            </w:r>
            <w:r>
              <w:rPr>
                <w:rFonts w:ascii="Times New Roman" w:hAnsi="Times New Roman"/>
                <w:sz w:val="24"/>
                <w:szCs w:val="24"/>
                <w:lang w:eastAsia="lt-LT"/>
              </w:rPr>
              <w:t xml:space="preserve"> </w:t>
            </w:r>
            <w:r w:rsidRPr="00F464D9">
              <w:rPr>
                <w:rFonts w:ascii="Times New Roman" w:hAnsi="Times New Roman"/>
                <w:sz w:val="24"/>
                <w:szCs w:val="24"/>
                <w:lang w:eastAsia="lt-LT"/>
              </w:rPr>
              <w:t>rašt</w:t>
            </w:r>
            <w:r>
              <w:rPr>
                <w:rFonts w:ascii="Times New Roman" w:hAnsi="Times New Roman"/>
                <w:sz w:val="24"/>
                <w:szCs w:val="24"/>
                <w:lang w:eastAsia="lt-LT"/>
              </w:rPr>
              <w:t>o</w:t>
            </w:r>
            <w:r w:rsidRPr="00F464D9">
              <w:rPr>
                <w:rFonts w:ascii="Times New Roman" w:hAnsi="Times New Roman"/>
                <w:sz w:val="24"/>
                <w:szCs w:val="24"/>
                <w:lang w:eastAsia="lt-LT"/>
              </w:rPr>
              <w:t xml:space="preserve"> Nr. 1 (Žemės ūkio ministerijos registruot</w:t>
            </w:r>
            <w:r>
              <w:rPr>
                <w:rFonts w:ascii="Times New Roman" w:hAnsi="Times New Roman"/>
                <w:sz w:val="24"/>
                <w:szCs w:val="24"/>
                <w:lang w:eastAsia="lt-LT"/>
              </w:rPr>
              <w:t>as</w:t>
            </w:r>
            <w:r w:rsidRPr="00F464D9">
              <w:rPr>
                <w:rFonts w:ascii="Times New Roman" w:hAnsi="Times New Roman"/>
                <w:sz w:val="24"/>
                <w:szCs w:val="24"/>
                <w:lang w:eastAsia="lt-LT"/>
              </w:rPr>
              <w:t xml:space="preserve"> 2018 m. vasario 27 d. Nr. 1D-1-821)</w:t>
            </w:r>
            <w:r>
              <w:rPr>
                <w:rFonts w:ascii="Times New Roman" w:hAnsi="Times New Roman"/>
                <w:sz w:val="24"/>
                <w:szCs w:val="24"/>
                <w:lang w:eastAsia="lt-LT"/>
              </w:rPr>
              <w:t xml:space="preserve"> </w:t>
            </w:r>
            <w:r w:rsidRPr="00F464D9">
              <w:rPr>
                <w:rFonts w:ascii="Times New Roman" w:hAnsi="Times New Roman"/>
                <w:sz w:val="24"/>
                <w:szCs w:val="24"/>
                <w:lang w:eastAsia="lt-LT"/>
              </w:rPr>
              <w:t xml:space="preserve">(toliau – </w:t>
            </w:r>
            <w:r>
              <w:rPr>
                <w:rFonts w:ascii="Times New Roman" w:hAnsi="Times New Roman"/>
                <w:sz w:val="24"/>
                <w:szCs w:val="24"/>
                <w:lang w:eastAsia="lt-LT"/>
              </w:rPr>
              <w:t>p</w:t>
            </w:r>
            <w:r w:rsidRPr="00F464D9">
              <w:rPr>
                <w:rFonts w:ascii="Times New Roman" w:hAnsi="Times New Roman"/>
                <w:sz w:val="24"/>
                <w:szCs w:val="24"/>
                <w:lang w:eastAsia="lt-LT"/>
              </w:rPr>
              <w:t>areiškėjos raštas</w:t>
            </w:r>
            <w:r>
              <w:rPr>
                <w:rFonts w:ascii="Times New Roman" w:hAnsi="Times New Roman"/>
                <w:sz w:val="24"/>
                <w:szCs w:val="24"/>
                <w:lang w:eastAsia="lt-LT"/>
              </w:rPr>
              <w:t>)</w:t>
            </w:r>
            <w:r w:rsidRPr="00F464D9">
              <w:rPr>
                <w:rFonts w:ascii="Times New Roman" w:hAnsi="Times New Roman"/>
                <w:sz w:val="24"/>
                <w:szCs w:val="24"/>
                <w:lang w:eastAsia="lt-LT"/>
              </w:rPr>
              <w:t xml:space="preserve">, kurį </w:t>
            </w:r>
            <w:r>
              <w:rPr>
                <w:rFonts w:ascii="Times New Roman" w:hAnsi="Times New Roman"/>
                <w:sz w:val="24"/>
                <w:szCs w:val="24"/>
                <w:lang w:eastAsia="lt-LT"/>
              </w:rPr>
              <w:t>p</w:t>
            </w:r>
            <w:r w:rsidRPr="00F464D9">
              <w:rPr>
                <w:rFonts w:ascii="Times New Roman" w:hAnsi="Times New Roman"/>
                <w:sz w:val="24"/>
                <w:szCs w:val="24"/>
                <w:lang w:eastAsia="lt-LT"/>
              </w:rPr>
              <w:t xml:space="preserve">areiškėja pateikė </w:t>
            </w:r>
            <w:r>
              <w:rPr>
                <w:rFonts w:ascii="Times New Roman" w:hAnsi="Times New Roman"/>
                <w:sz w:val="24"/>
                <w:szCs w:val="24"/>
                <w:lang w:eastAsia="lt-LT"/>
              </w:rPr>
              <w:t>PAK</w:t>
            </w:r>
            <w:r w:rsidRPr="00F464D9">
              <w:rPr>
                <w:rFonts w:ascii="Times New Roman" w:hAnsi="Times New Roman"/>
                <w:sz w:val="24"/>
                <w:szCs w:val="24"/>
                <w:lang w:eastAsia="lt-LT"/>
              </w:rPr>
              <w:t xml:space="preserve"> posėdžio metu</w:t>
            </w:r>
            <w:r>
              <w:rPr>
                <w:rFonts w:ascii="Times New Roman" w:hAnsi="Times New Roman"/>
                <w:sz w:val="24"/>
                <w:szCs w:val="24"/>
                <w:lang w:eastAsia="lt-LT"/>
              </w:rPr>
              <w:t xml:space="preserve">, buvo </w:t>
            </w:r>
            <w:r w:rsidRPr="00F464D9">
              <w:rPr>
                <w:rFonts w:ascii="Times New Roman" w:hAnsi="Times New Roman"/>
                <w:sz w:val="24"/>
                <w:szCs w:val="24"/>
                <w:lang w:eastAsia="lt-LT"/>
              </w:rPr>
              <w:t>pateiktas Rokiškio kredito unijos 2018 m. vasario 25 d. raštas Nr. 12 „Dėl galimo kredito suteikimo UAB „</w:t>
            </w:r>
            <w:proofErr w:type="spellStart"/>
            <w:r w:rsidRPr="00F464D9">
              <w:rPr>
                <w:rFonts w:ascii="Times New Roman" w:hAnsi="Times New Roman"/>
                <w:sz w:val="24"/>
                <w:szCs w:val="24"/>
                <w:lang w:eastAsia="lt-LT"/>
              </w:rPr>
              <w:t>Deivilas</w:t>
            </w:r>
            <w:proofErr w:type="spellEnd"/>
            <w:r w:rsidRPr="00F464D9">
              <w:rPr>
                <w:rFonts w:ascii="Times New Roman" w:hAnsi="Times New Roman"/>
                <w:sz w:val="24"/>
                <w:szCs w:val="24"/>
                <w:lang w:eastAsia="lt-LT"/>
              </w:rPr>
              <w:t>“, kuriame nurodoma, kad Rokiškio kredito unija numato galimybę suteikti iki 726 000 Eur kreditą projekto „Juodupės žuvų auginimo ir perdirbimo gamykla“ finansavimui. Pažymėtina, kad Rokiškio kredito unijos raštas pateiktas 2018 m. vasario 15 d., t. y. po paraiškos pateikimo datos (</w:t>
            </w:r>
            <w:r>
              <w:rPr>
                <w:rFonts w:ascii="Times New Roman" w:hAnsi="Times New Roman"/>
                <w:sz w:val="24"/>
                <w:szCs w:val="24"/>
                <w:lang w:eastAsia="lt-LT"/>
              </w:rPr>
              <w:t xml:space="preserve">paraiška pateikta </w:t>
            </w:r>
            <w:r w:rsidRPr="00F464D9">
              <w:rPr>
                <w:rFonts w:ascii="Times New Roman" w:hAnsi="Times New Roman"/>
                <w:sz w:val="24"/>
                <w:szCs w:val="24"/>
                <w:lang w:eastAsia="lt-LT"/>
              </w:rPr>
              <w:t>2017 m. birželio 30 d.) ir todėl nepagrindžia skolintų lėšų</w:t>
            </w:r>
            <w:r>
              <w:rPr>
                <w:rFonts w:ascii="Times New Roman" w:hAnsi="Times New Roman"/>
                <w:sz w:val="24"/>
                <w:szCs w:val="24"/>
                <w:lang w:eastAsia="lt-LT"/>
              </w:rPr>
              <w:t>,</w:t>
            </w:r>
            <w:r w:rsidRPr="00F464D9">
              <w:rPr>
                <w:rFonts w:ascii="Times New Roman" w:hAnsi="Times New Roman"/>
                <w:sz w:val="24"/>
                <w:szCs w:val="24"/>
                <w:lang w:eastAsia="lt-LT"/>
              </w:rPr>
              <w:t xml:space="preserve"> kaip finansavimo šaltinio, nes Taisyklių 22 punktas reikalauja, kad kredito įstaigos raštas būtų pateikiamas kartu su paraiška.</w:t>
            </w:r>
          </w:p>
          <w:p w14:paraId="65EB2BE0" w14:textId="77777777" w:rsidR="00AE6E2B" w:rsidRPr="00F464D9" w:rsidRDefault="00AE6E2B" w:rsidP="00AE6E2B">
            <w:pPr>
              <w:spacing w:after="0" w:line="259" w:lineRule="auto"/>
              <w:jc w:val="both"/>
              <w:rPr>
                <w:rFonts w:ascii="Times New Roman" w:hAnsi="Times New Roman"/>
                <w:color w:val="000000"/>
                <w:sz w:val="24"/>
                <w:szCs w:val="24"/>
              </w:rPr>
            </w:pPr>
            <w:r w:rsidRPr="00F47820">
              <w:rPr>
                <w:rFonts w:ascii="Times New Roman" w:hAnsi="Times New Roman"/>
                <w:sz w:val="24"/>
                <w:szCs w:val="24"/>
              </w:rPr>
              <w:lastRenderedPageBreak/>
              <w:t xml:space="preserve">             </w:t>
            </w:r>
            <w:r w:rsidRPr="00F464D9">
              <w:rPr>
                <w:rFonts w:ascii="Times New Roman" w:hAnsi="Times New Roman"/>
                <w:sz w:val="24"/>
                <w:szCs w:val="24"/>
                <w:lang w:eastAsia="lt-LT"/>
              </w:rPr>
              <w:t>Taip pat pažymėtina, kad Rokiškio kredito unijos</w:t>
            </w:r>
            <w:r>
              <w:rPr>
                <w:rFonts w:ascii="Times New Roman" w:hAnsi="Times New Roman"/>
                <w:sz w:val="24"/>
                <w:szCs w:val="24"/>
                <w:lang w:eastAsia="lt-LT"/>
              </w:rPr>
              <w:t>,</w:t>
            </w:r>
            <w:r w:rsidRPr="00F464D9">
              <w:rPr>
                <w:rFonts w:ascii="Times New Roman" w:hAnsi="Times New Roman"/>
                <w:sz w:val="24"/>
                <w:szCs w:val="24"/>
                <w:lang w:eastAsia="lt-LT"/>
              </w:rPr>
              <w:t xml:space="preserve"> kaip ir UAB „Sostinės kreditai“</w:t>
            </w:r>
            <w:r>
              <w:rPr>
                <w:rFonts w:ascii="Times New Roman" w:hAnsi="Times New Roman"/>
                <w:sz w:val="24"/>
                <w:szCs w:val="24"/>
                <w:lang w:eastAsia="lt-LT"/>
              </w:rPr>
              <w:t>,</w:t>
            </w:r>
            <w:r w:rsidRPr="00F464D9">
              <w:rPr>
                <w:rFonts w:ascii="Times New Roman" w:hAnsi="Times New Roman"/>
                <w:sz w:val="24"/>
                <w:szCs w:val="24"/>
                <w:lang w:eastAsia="lt-LT"/>
              </w:rPr>
              <w:t xml:space="preserve"> rašt</w:t>
            </w:r>
            <w:r>
              <w:rPr>
                <w:rFonts w:ascii="Times New Roman" w:hAnsi="Times New Roman"/>
                <w:sz w:val="24"/>
                <w:szCs w:val="24"/>
                <w:lang w:eastAsia="lt-LT"/>
              </w:rPr>
              <w:t>uose</w:t>
            </w:r>
            <w:r w:rsidRPr="00F464D9">
              <w:rPr>
                <w:rFonts w:ascii="Times New Roman" w:hAnsi="Times New Roman"/>
                <w:sz w:val="24"/>
                <w:szCs w:val="24"/>
                <w:lang w:eastAsia="lt-LT"/>
              </w:rPr>
              <w:t xml:space="preserve"> </w:t>
            </w:r>
            <w:r>
              <w:rPr>
                <w:rFonts w:ascii="Times New Roman" w:hAnsi="Times New Roman"/>
                <w:sz w:val="24"/>
                <w:szCs w:val="24"/>
                <w:lang w:eastAsia="lt-LT"/>
              </w:rPr>
              <w:t xml:space="preserve">dėl paskolos </w:t>
            </w:r>
            <w:r w:rsidRPr="00711E0E">
              <w:rPr>
                <w:rFonts w:ascii="Times New Roman" w:hAnsi="Times New Roman"/>
                <w:sz w:val="24"/>
                <w:szCs w:val="24"/>
                <w:lang w:eastAsia="lt-LT"/>
              </w:rPr>
              <w:t>suteikimo projektui finansuoti projektas įvard</w:t>
            </w:r>
            <w:r>
              <w:rPr>
                <w:rFonts w:ascii="Times New Roman" w:hAnsi="Times New Roman"/>
                <w:sz w:val="24"/>
                <w:szCs w:val="24"/>
                <w:lang w:eastAsia="lt-LT"/>
              </w:rPr>
              <w:t>y</w:t>
            </w:r>
            <w:r w:rsidRPr="00711E0E">
              <w:rPr>
                <w:rFonts w:ascii="Times New Roman" w:hAnsi="Times New Roman"/>
                <w:sz w:val="24"/>
                <w:szCs w:val="24"/>
                <w:lang w:eastAsia="lt-LT"/>
              </w:rPr>
              <w:t>tas kitokiu pavadinimu</w:t>
            </w:r>
            <w:r w:rsidRPr="00F464D9">
              <w:rPr>
                <w:rFonts w:ascii="Times New Roman" w:hAnsi="Times New Roman"/>
                <w:sz w:val="24"/>
                <w:szCs w:val="24"/>
                <w:lang w:eastAsia="lt-LT"/>
              </w:rPr>
              <w:t xml:space="preserve"> („Juodupės žuvų auginimo ir perdirbimo gamykla“), nei</w:t>
            </w:r>
            <w:r>
              <w:rPr>
                <w:rFonts w:ascii="Times New Roman" w:hAnsi="Times New Roman"/>
                <w:sz w:val="24"/>
                <w:szCs w:val="24"/>
                <w:lang w:eastAsia="lt-LT"/>
              </w:rPr>
              <w:t xml:space="preserve"> p</w:t>
            </w:r>
            <w:r w:rsidRPr="00F464D9">
              <w:rPr>
                <w:rFonts w:ascii="Times New Roman" w:hAnsi="Times New Roman"/>
                <w:sz w:val="24"/>
                <w:szCs w:val="24"/>
                <w:lang w:eastAsia="lt-LT"/>
              </w:rPr>
              <w:t>areiškėja prašo paramos (</w:t>
            </w:r>
            <w:r w:rsidRPr="00F464D9">
              <w:rPr>
                <w:rFonts w:ascii="Times New Roman" w:hAnsi="Times New Roman"/>
                <w:sz w:val="24"/>
                <w:szCs w:val="24"/>
              </w:rPr>
              <w:t>„UAB „</w:t>
            </w:r>
            <w:proofErr w:type="spellStart"/>
            <w:r w:rsidRPr="00F464D9">
              <w:rPr>
                <w:rFonts w:ascii="Times New Roman" w:hAnsi="Times New Roman"/>
                <w:sz w:val="24"/>
                <w:szCs w:val="24"/>
              </w:rPr>
              <w:t>Deivilas</w:t>
            </w:r>
            <w:proofErr w:type="spellEnd"/>
            <w:r w:rsidRPr="00F464D9">
              <w:rPr>
                <w:rFonts w:ascii="Times New Roman" w:hAnsi="Times New Roman"/>
                <w:sz w:val="24"/>
                <w:szCs w:val="24"/>
              </w:rPr>
              <w:t xml:space="preserve">“ konkurencingumo bei gyvybingumo didinimas, įskaitant saugos ir darbo sąlygų gerinimą“). Pareiškėja nepateikė paaiškinimo ir nepatikslino kredito įstaigų raštuose nurodyto projekto pavadinimo. </w:t>
            </w:r>
          </w:p>
          <w:p w14:paraId="09FF0AD1" w14:textId="77777777" w:rsidR="00AE6E2B" w:rsidRPr="00F464D9" w:rsidRDefault="00AE6E2B" w:rsidP="00AE6E2B">
            <w:pPr>
              <w:spacing w:after="0" w:line="259" w:lineRule="auto"/>
              <w:jc w:val="both"/>
              <w:rPr>
                <w:rFonts w:ascii="Times New Roman" w:hAnsi="Times New Roman"/>
                <w:sz w:val="24"/>
                <w:szCs w:val="24"/>
                <w:lang w:eastAsia="lt-LT"/>
              </w:rPr>
            </w:pPr>
            <w:r w:rsidRPr="00F47820">
              <w:rPr>
                <w:rFonts w:ascii="Times New Roman" w:hAnsi="Times New Roman"/>
                <w:sz w:val="24"/>
                <w:szCs w:val="24"/>
              </w:rPr>
              <w:t xml:space="preserve">             </w:t>
            </w:r>
            <w:r w:rsidRPr="00F464D9">
              <w:rPr>
                <w:rFonts w:ascii="Times New Roman" w:hAnsi="Times New Roman"/>
                <w:sz w:val="24"/>
                <w:szCs w:val="24"/>
                <w:lang w:eastAsia="lt-LT"/>
              </w:rPr>
              <w:t xml:space="preserve">Taip pat šiame Taisyklių punkte nustatytam tinkamumo kriterijui pagrįsti reikalaujama, kad projekto finansavimo šaltiniai būtų apskaityti verslo plano finansinėse prognozėse. Pareiškėja kartu su atsakymu į </w:t>
            </w:r>
            <w:r>
              <w:rPr>
                <w:rFonts w:ascii="Times New Roman" w:hAnsi="Times New Roman"/>
                <w:sz w:val="24"/>
                <w:szCs w:val="24"/>
                <w:lang w:eastAsia="lt-LT"/>
              </w:rPr>
              <w:t xml:space="preserve">antrąjį </w:t>
            </w:r>
            <w:r w:rsidRPr="00F464D9">
              <w:rPr>
                <w:rFonts w:ascii="Times New Roman" w:hAnsi="Times New Roman"/>
                <w:sz w:val="24"/>
                <w:szCs w:val="24"/>
                <w:lang w:eastAsia="lt-LT"/>
              </w:rPr>
              <w:t xml:space="preserve">ir </w:t>
            </w:r>
            <w:r>
              <w:rPr>
                <w:rFonts w:ascii="Times New Roman" w:hAnsi="Times New Roman"/>
                <w:sz w:val="24"/>
                <w:szCs w:val="24"/>
                <w:lang w:eastAsia="lt-LT"/>
              </w:rPr>
              <w:t>trečiąjį p</w:t>
            </w:r>
            <w:r w:rsidRPr="00F464D9">
              <w:rPr>
                <w:rFonts w:ascii="Times New Roman" w:hAnsi="Times New Roman"/>
                <w:sz w:val="24"/>
                <w:szCs w:val="24"/>
                <w:lang w:eastAsia="lt-LT"/>
              </w:rPr>
              <w:t>aklausim</w:t>
            </w:r>
            <w:r>
              <w:rPr>
                <w:rFonts w:ascii="Times New Roman" w:hAnsi="Times New Roman"/>
                <w:sz w:val="24"/>
                <w:szCs w:val="24"/>
                <w:lang w:eastAsia="lt-LT"/>
              </w:rPr>
              <w:t>us</w:t>
            </w:r>
            <w:r w:rsidRPr="00F464D9">
              <w:rPr>
                <w:rFonts w:ascii="Times New Roman" w:hAnsi="Times New Roman"/>
                <w:sz w:val="24"/>
                <w:szCs w:val="24"/>
                <w:lang w:eastAsia="lt-LT"/>
              </w:rPr>
              <w:t xml:space="preserve"> pateikė pakoreguotas verslo plano finansines prognozes. Pagal pinigų srautų prognozių straipsnio „Grynieji pagrindinės veiklos pinigų srautai“ duomenis </w:t>
            </w:r>
            <w:r>
              <w:rPr>
                <w:rFonts w:ascii="Times New Roman" w:hAnsi="Times New Roman"/>
                <w:sz w:val="24"/>
                <w:szCs w:val="24"/>
                <w:lang w:eastAsia="lt-LT"/>
              </w:rPr>
              <w:t>p</w:t>
            </w:r>
            <w:r w:rsidRPr="00F464D9">
              <w:rPr>
                <w:rFonts w:ascii="Times New Roman" w:hAnsi="Times New Roman"/>
                <w:sz w:val="24"/>
                <w:szCs w:val="24"/>
                <w:lang w:eastAsia="lt-LT"/>
              </w:rPr>
              <w:t>areiškėja projekto įgyvendinimo laikotarpiu iš veiklos 2017 m. planuoja gauti 27</w:t>
            </w:r>
            <w:r>
              <w:rPr>
                <w:rFonts w:ascii="Times New Roman" w:hAnsi="Times New Roman"/>
                <w:sz w:val="24"/>
                <w:szCs w:val="24"/>
                <w:lang w:eastAsia="lt-LT"/>
              </w:rPr>
              <w:t xml:space="preserve"> </w:t>
            </w:r>
            <w:r w:rsidRPr="00F464D9">
              <w:rPr>
                <w:rFonts w:ascii="Times New Roman" w:hAnsi="Times New Roman"/>
                <w:sz w:val="24"/>
                <w:szCs w:val="24"/>
                <w:lang w:eastAsia="lt-LT"/>
              </w:rPr>
              <w:t>630 Eur, 2018 m. veiklos pinigų srautai nuostolingi -33</w:t>
            </w:r>
            <w:r>
              <w:rPr>
                <w:rFonts w:ascii="Times New Roman" w:hAnsi="Times New Roman"/>
                <w:sz w:val="24"/>
                <w:szCs w:val="24"/>
                <w:lang w:eastAsia="lt-LT"/>
              </w:rPr>
              <w:t xml:space="preserve"> </w:t>
            </w:r>
            <w:r w:rsidRPr="00F464D9">
              <w:rPr>
                <w:rFonts w:ascii="Times New Roman" w:hAnsi="Times New Roman"/>
                <w:sz w:val="24"/>
                <w:szCs w:val="24"/>
                <w:lang w:eastAsia="lt-LT"/>
              </w:rPr>
              <w:t>876 Eur, 2019 m. planuoja gauti 10</w:t>
            </w:r>
            <w:r>
              <w:rPr>
                <w:rFonts w:ascii="Times New Roman" w:hAnsi="Times New Roman"/>
                <w:sz w:val="24"/>
                <w:szCs w:val="24"/>
                <w:lang w:eastAsia="lt-LT"/>
              </w:rPr>
              <w:t xml:space="preserve"> </w:t>
            </w:r>
            <w:r w:rsidRPr="00F464D9">
              <w:rPr>
                <w:rFonts w:ascii="Times New Roman" w:hAnsi="Times New Roman"/>
                <w:sz w:val="24"/>
                <w:szCs w:val="24"/>
                <w:lang w:eastAsia="lt-LT"/>
              </w:rPr>
              <w:t xml:space="preserve">757 Eur. Iš viso iš veiklos projekto įgyvendinimo laikotarpiu </w:t>
            </w:r>
            <w:r>
              <w:rPr>
                <w:rFonts w:ascii="Times New Roman" w:hAnsi="Times New Roman"/>
                <w:sz w:val="24"/>
                <w:szCs w:val="24"/>
                <w:lang w:eastAsia="lt-LT"/>
              </w:rPr>
              <w:t xml:space="preserve">yra </w:t>
            </w:r>
            <w:r w:rsidRPr="00F464D9">
              <w:rPr>
                <w:rFonts w:ascii="Times New Roman" w:hAnsi="Times New Roman"/>
                <w:sz w:val="24"/>
                <w:szCs w:val="24"/>
                <w:lang w:eastAsia="lt-LT"/>
              </w:rPr>
              <w:t>apskaityta 4</w:t>
            </w:r>
            <w:r>
              <w:rPr>
                <w:rFonts w:ascii="Times New Roman" w:hAnsi="Times New Roman"/>
                <w:sz w:val="24"/>
                <w:szCs w:val="24"/>
                <w:lang w:eastAsia="lt-LT"/>
              </w:rPr>
              <w:t xml:space="preserve"> </w:t>
            </w:r>
            <w:r w:rsidRPr="00F464D9">
              <w:rPr>
                <w:rFonts w:ascii="Times New Roman" w:hAnsi="Times New Roman"/>
                <w:sz w:val="24"/>
                <w:szCs w:val="24"/>
                <w:lang w:eastAsia="lt-LT"/>
              </w:rPr>
              <w:t>511 Eur (27</w:t>
            </w:r>
            <w:r>
              <w:rPr>
                <w:rFonts w:ascii="Times New Roman" w:hAnsi="Times New Roman"/>
                <w:sz w:val="24"/>
                <w:szCs w:val="24"/>
                <w:lang w:eastAsia="lt-LT"/>
              </w:rPr>
              <w:t xml:space="preserve"> </w:t>
            </w:r>
            <w:r w:rsidRPr="00F464D9">
              <w:rPr>
                <w:rFonts w:ascii="Times New Roman" w:hAnsi="Times New Roman"/>
                <w:sz w:val="24"/>
                <w:szCs w:val="24"/>
                <w:lang w:eastAsia="lt-LT"/>
              </w:rPr>
              <w:t>630-33</w:t>
            </w:r>
            <w:r>
              <w:rPr>
                <w:rFonts w:ascii="Times New Roman" w:hAnsi="Times New Roman"/>
                <w:sz w:val="24"/>
                <w:szCs w:val="24"/>
                <w:lang w:eastAsia="lt-LT"/>
              </w:rPr>
              <w:t xml:space="preserve"> </w:t>
            </w:r>
            <w:r w:rsidRPr="00F464D9">
              <w:rPr>
                <w:rFonts w:ascii="Times New Roman" w:hAnsi="Times New Roman"/>
                <w:sz w:val="24"/>
                <w:szCs w:val="24"/>
                <w:lang w:eastAsia="lt-LT"/>
              </w:rPr>
              <w:t>876+10</w:t>
            </w:r>
            <w:r>
              <w:rPr>
                <w:rFonts w:ascii="Times New Roman" w:hAnsi="Times New Roman"/>
                <w:sz w:val="24"/>
                <w:szCs w:val="24"/>
                <w:lang w:eastAsia="lt-LT"/>
              </w:rPr>
              <w:t xml:space="preserve"> </w:t>
            </w:r>
            <w:r w:rsidRPr="00F464D9">
              <w:rPr>
                <w:rFonts w:ascii="Times New Roman" w:hAnsi="Times New Roman"/>
                <w:sz w:val="24"/>
                <w:szCs w:val="24"/>
                <w:lang w:eastAsia="lt-LT"/>
              </w:rPr>
              <w:t>757)</w:t>
            </w:r>
            <w:r>
              <w:rPr>
                <w:rFonts w:ascii="Times New Roman" w:hAnsi="Times New Roman"/>
                <w:sz w:val="24"/>
                <w:szCs w:val="24"/>
                <w:lang w:eastAsia="lt-LT"/>
              </w:rPr>
              <w:t xml:space="preserve"> </w:t>
            </w:r>
            <w:r w:rsidRPr="00F464D9">
              <w:rPr>
                <w:rFonts w:ascii="Times New Roman" w:hAnsi="Times New Roman"/>
                <w:sz w:val="24"/>
                <w:szCs w:val="24"/>
                <w:lang w:eastAsia="lt-LT"/>
              </w:rPr>
              <w:t>lėšų,</w:t>
            </w:r>
            <w:r>
              <w:rPr>
                <w:rFonts w:ascii="Times New Roman" w:hAnsi="Times New Roman"/>
                <w:sz w:val="24"/>
                <w:szCs w:val="24"/>
                <w:lang w:eastAsia="lt-LT"/>
              </w:rPr>
              <w:t xml:space="preserve"> </w:t>
            </w:r>
            <w:r w:rsidRPr="00F464D9">
              <w:rPr>
                <w:rFonts w:ascii="Times New Roman" w:hAnsi="Times New Roman"/>
                <w:sz w:val="24"/>
                <w:szCs w:val="24"/>
                <w:lang w:eastAsia="lt-LT"/>
              </w:rPr>
              <w:t xml:space="preserve">kurias galima panaudoti projekto finansavimui, o </w:t>
            </w:r>
            <w:r>
              <w:rPr>
                <w:rFonts w:ascii="Times New Roman" w:hAnsi="Times New Roman"/>
                <w:sz w:val="24"/>
                <w:szCs w:val="24"/>
                <w:lang w:eastAsia="lt-LT"/>
              </w:rPr>
              <w:t>p</w:t>
            </w:r>
            <w:r w:rsidRPr="00F464D9">
              <w:rPr>
                <w:rFonts w:ascii="Times New Roman" w:hAnsi="Times New Roman"/>
                <w:sz w:val="24"/>
                <w:szCs w:val="24"/>
                <w:lang w:eastAsia="lt-LT"/>
              </w:rPr>
              <w:t>areiškėja iš veiklos planuoja skirti 150</w:t>
            </w:r>
            <w:r>
              <w:rPr>
                <w:rFonts w:ascii="Times New Roman" w:hAnsi="Times New Roman"/>
                <w:sz w:val="24"/>
                <w:szCs w:val="24"/>
                <w:lang w:eastAsia="lt-LT"/>
              </w:rPr>
              <w:t xml:space="preserve"> </w:t>
            </w:r>
            <w:r w:rsidRPr="00F464D9">
              <w:rPr>
                <w:rFonts w:ascii="Times New Roman" w:hAnsi="Times New Roman"/>
                <w:sz w:val="24"/>
                <w:szCs w:val="24"/>
                <w:lang w:eastAsia="lt-LT"/>
              </w:rPr>
              <w:t>064,58 Eur.</w:t>
            </w:r>
          </w:p>
          <w:p w14:paraId="184EB09F" w14:textId="77777777" w:rsidR="00AE6E2B" w:rsidRPr="00F464D9" w:rsidRDefault="00AE6E2B" w:rsidP="00AE6E2B">
            <w:pPr>
              <w:spacing w:after="0" w:line="259" w:lineRule="auto"/>
              <w:jc w:val="both"/>
              <w:rPr>
                <w:rFonts w:ascii="Times New Roman" w:hAnsi="Times New Roman"/>
                <w:sz w:val="24"/>
                <w:szCs w:val="24"/>
                <w:lang w:eastAsia="lt-LT"/>
              </w:rPr>
            </w:pPr>
            <w:r w:rsidRPr="00F47820">
              <w:rPr>
                <w:rFonts w:ascii="Times New Roman" w:hAnsi="Times New Roman"/>
                <w:sz w:val="24"/>
                <w:szCs w:val="24"/>
              </w:rPr>
              <w:t xml:space="preserve">             </w:t>
            </w:r>
            <w:r w:rsidRPr="00F464D9">
              <w:rPr>
                <w:rFonts w:ascii="Times New Roman" w:hAnsi="Times New Roman"/>
                <w:sz w:val="24"/>
                <w:szCs w:val="24"/>
                <w:lang w:eastAsia="lt-LT"/>
              </w:rPr>
              <w:t xml:space="preserve">Pagal </w:t>
            </w:r>
            <w:r>
              <w:rPr>
                <w:rFonts w:ascii="Times New Roman" w:hAnsi="Times New Roman"/>
                <w:sz w:val="24"/>
                <w:szCs w:val="24"/>
                <w:lang w:eastAsia="lt-LT"/>
              </w:rPr>
              <w:t>p</w:t>
            </w:r>
            <w:r w:rsidRPr="00F464D9">
              <w:rPr>
                <w:rFonts w:ascii="Times New Roman" w:hAnsi="Times New Roman"/>
                <w:sz w:val="24"/>
                <w:szCs w:val="24"/>
                <w:lang w:eastAsia="lt-LT"/>
              </w:rPr>
              <w:t xml:space="preserve">areiškėjos atsakymuose į paklausimus ir </w:t>
            </w:r>
            <w:r>
              <w:rPr>
                <w:rFonts w:ascii="Times New Roman" w:hAnsi="Times New Roman"/>
                <w:sz w:val="24"/>
                <w:szCs w:val="24"/>
                <w:lang w:eastAsia="lt-LT"/>
              </w:rPr>
              <w:t>p</w:t>
            </w:r>
            <w:r w:rsidRPr="00F464D9">
              <w:rPr>
                <w:rFonts w:ascii="Times New Roman" w:hAnsi="Times New Roman"/>
                <w:sz w:val="24"/>
                <w:szCs w:val="24"/>
                <w:lang w:eastAsia="lt-LT"/>
              </w:rPr>
              <w:t xml:space="preserve">areiškėjos rašte pateiktą informaciją </w:t>
            </w:r>
            <w:r>
              <w:rPr>
                <w:rFonts w:ascii="Times New Roman" w:hAnsi="Times New Roman"/>
                <w:sz w:val="24"/>
                <w:szCs w:val="24"/>
                <w:lang w:eastAsia="lt-LT"/>
              </w:rPr>
              <w:t>p</w:t>
            </w:r>
            <w:r w:rsidRPr="00F464D9">
              <w:rPr>
                <w:rFonts w:ascii="Times New Roman" w:hAnsi="Times New Roman"/>
                <w:sz w:val="24"/>
                <w:szCs w:val="24"/>
                <w:lang w:eastAsia="lt-LT"/>
              </w:rPr>
              <w:t>rojekto finansavimas n</w:t>
            </w:r>
            <w:r>
              <w:rPr>
                <w:rFonts w:ascii="Times New Roman" w:hAnsi="Times New Roman"/>
                <w:sz w:val="24"/>
                <w:szCs w:val="24"/>
                <w:lang w:eastAsia="lt-LT"/>
              </w:rPr>
              <w:t xml:space="preserve">ėra </w:t>
            </w:r>
            <w:r w:rsidRPr="00F464D9">
              <w:rPr>
                <w:rFonts w:ascii="Times New Roman" w:hAnsi="Times New Roman"/>
                <w:sz w:val="24"/>
                <w:szCs w:val="24"/>
                <w:lang w:eastAsia="lt-LT"/>
              </w:rPr>
              <w:t xml:space="preserve">užtikrintas, nes skolintos lėšos </w:t>
            </w:r>
            <w:r>
              <w:rPr>
                <w:rFonts w:ascii="Times New Roman" w:hAnsi="Times New Roman"/>
                <w:sz w:val="24"/>
                <w:szCs w:val="24"/>
                <w:lang w:eastAsia="lt-LT"/>
              </w:rPr>
              <w:t>p</w:t>
            </w:r>
            <w:r w:rsidRPr="00F464D9">
              <w:rPr>
                <w:rFonts w:ascii="Times New Roman" w:hAnsi="Times New Roman"/>
                <w:sz w:val="24"/>
                <w:szCs w:val="24"/>
                <w:lang w:eastAsia="lt-LT"/>
              </w:rPr>
              <w:t xml:space="preserve">rojekto finansavimui nepagrįstos kredito įstaigos raštu, o planuojamos skirti </w:t>
            </w:r>
            <w:r>
              <w:rPr>
                <w:rFonts w:ascii="Times New Roman" w:hAnsi="Times New Roman"/>
                <w:sz w:val="24"/>
                <w:szCs w:val="24"/>
                <w:lang w:eastAsia="lt-LT"/>
              </w:rPr>
              <w:t>p</w:t>
            </w:r>
            <w:r w:rsidRPr="00F464D9">
              <w:rPr>
                <w:rFonts w:ascii="Times New Roman" w:hAnsi="Times New Roman"/>
                <w:sz w:val="24"/>
                <w:szCs w:val="24"/>
                <w:lang w:eastAsia="lt-LT"/>
              </w:rPr>
              <w:t>rojekto finansavimui lėšos iš veiklos nepagrįstos verslo plano finansinių ataskaitų duomenimis. P</w:t>
            </w:r>
            <w:r>
              <w:rPr>
                <w:rFonts w:ascii="Times New Roman" w:hAnsi="Times New Roman"/>
                <w:sz w:val="24"/>
                <w:szCs w:val="24"/>
                <w:lang w:eastAsia="lt-LT"/>
              </w:rPr>
              <w:t>areiškėja</w:t>
            </w:r>
            <w:r w:rsidRPr="00F464D9">
              <w:rPr>
                <w:rFonts w:ascii="Times New Roman" w:hAnsi="Times New Roman"/>
                <w:sz w:val="24"/>
                <w:szCs w:val="24"/>
                <w:lang w:eastAsia="lt-LT"/>
              </w:rPr>
              <w:t xml:space="preserve"> neatitinka Taisyklių 22 punkte nustatyto tinkamumo kriterijaus.</w:t>
            </w:r>
          </w:p>
          <w:p w14:paraId="1DDA7C2F" w14:textId="77777777" w:rsidR="00AE6E2B" w:rsidRPr="00F464D9" w:rsidRDefault="00AE6E2B" w:rsidP="00AE6E2B">
            <w:pPr>
              <w:spacing w:after="0" w:line="259" w:lineRule="auto"/>
              <w:jc w:val="both"/>
              <w:rPr>
                <w:rFonts w:ascii="Times New Roman" w:hAnsi="Times New Roman"/>
                <w:sz w:val="24"/>
                <w:szCs w:val="24"/>
                <w:lang w:eastAsia="lt-LT"/>
              </w:rPr>
            </w:pPr>
            <w:r w:rsidRPr="00F47820">
              <w:rPr>
                <w:rFonts w:ascii="Times New Roman" w:hAnsi="Times New Roman"/>
                <w:sz w:val="24"/>
                <w:szCs w:val="24"/>
              </w:rPr>
              <w:t xml:space="preserve">             </w:t>
            </w:r>
            <w:r w:rsidRPr="00F464D9">
              <w:rPr>
                <w:rFonts w:ascii="Times New Roman" w:hAnsi="Times New Roman"/>
                <w:sz w:val="24"/>
                <w:szCs w:val="24"/>
                <w:lang w:eastAsia="lt-LT"/>
              </w:rPr>
              <w:t xml:space="preserve">Taisyklių 25 punkte nustatyta, kad </w:t>
            </w:r>
            <w:r>
              <w:rPr>
                <w:rFonts w:ascii="Times New Roman" w:hAnsi="Times New Roman"/>
                <w:sz w:val="24"/>
                <w:szCs w:val="24"/>
                <w:lang w:eastAsia="lt-LT"/>
              </w:rPr>
              <w:t>p</w:t>
            </w:r>
            <w:r w:rsidRPr="00F464D9">
              <w:rPr>
                <w:rFonts w:ascii="Times New Roman" w:hAnsi="Times New Roman"/>
                <w:sz w:val="24"/>
                <w:szCs w:val="24"/>
                <w:lang w:eastAsia="lt-LT"/>
              </w:rPr>
              <w:t>areiškėjas kartu su paramos paraiška turi pateikti ekonomiškai pagrįstą verslo planą, parengtą pagal Taisyklių 2 priede nustatytą formą.</w:t>
            </w:r>
          </w:p>
          <w:p w14:paraId="61DAE84B" w14:textId="77777777" w:rsidR="00AE6E2B" w:rsidRPr="00F464D9" w:rsidRDefault="00AE6E2B" w:rsidP="00AE6E2B">
            <w:pPr>
              <w:spacing w:after="0" w:line="259" w:lineRule="auto"/>
              <w:jc w:val="both"/>
              <w:rPr>
                <w:rFonts w:ascii="Times New Roman" w:hAnsi="Times New Roman"/>
                <w:sz w:val="24"/>
                <w:szCs w:val="24"/>
                <w:lang w:eastAsia="lt-LT"/>
              </w:rPr>
            </w:pPr>
            <w:r w:rsidRPr="00F47820">
              <w:rPr>
                <w:rFonts w:ascii="Times New Roman" w:hAnsi="Times New Roman"/>
                <w:sz w:val="24"/>
                <w:szCs w:val="24"/>
              </w:rPr>
              <w:t xml:space="preserve">             </w:t>
            </w:r>
            <w:r w:rsidRPr="00F464D9">
              <w:rPr>
                <w:rFonts w:ascii="Times New Roman" w:hAnsi="Times New Roman"/>
                <w:sz w:val="24"/>
                <w:szCs w:val="24"/>
                <w:lang w:eastAsia="lt-LT"/>
              </w:rPr>
              <w:t>Pareiškėja kartu su paraiška pateikė verslo planą, tačiau jame trūksta informacijos, o pateikta informacija yra tarpusavyje nesusieta ir nepagrįsta, todėl šio tinkamumo kriterijaus pagrindimui vadovaujantis Administravimo taisyklių 71 punktu</w:t>
            </w:r>
            <w:r>
              <w:rPr>
                <w:rFonts w:ascii="Times New Roman" w:hAnsi="Times New Roman"/>
                <w:sz w:val="24"/>
                <w:szCs w:val="24"/>
                <w:lang w:eastAsia="lt-LT"/>
              </w:rPr>
              <w:t xml:space="preserve"> pareiškėjai</w:t>
            </w:r>
            <w:r w:rsidRPr="00F464D9">
              <w:rPr>
                <w:rFonts w:ascii="Times New Roman" w:hAnsi="Times New Roman"/>
                <w:sz w:val="24"/>
                <w:szCs w:val="24"/>
                <w:lang w:eastAsia="lt-LT"/>
              </w:rPr>
              <w:t xml:space="preserve"> buvo si</w:t>
            </w:r>
            <w:r>
              <w:rPr>
                <w:rFonts w:ascii="Times New Roman" w:hAnsi="Times New Roman"/>
                <w:sz w:val="24"/>
                <w:szCs w:val="24"/>
                <w:lang w:eastAsia="lt-LT"/>
              </w:rPr>
              <w:t>ų</w:t>
            </w:r>
            <w:r w:rsidRPr="00F464D9">
              <w:rPr>
                <w:rFonts w:ascii="Times New Roman" w:hAnsi="Times New Roman"/>
                <w:sz w:val="24"/>
                <w:szCs w:val="24"/>
                <w:lang w:eastAsia="lt-LT"/>
              </w:rPr>
              <w:t xml:space="preserve">sti </w:t>
            </w:r>
            <w:r>
              <w:rPr>
                <w:rFonts w:ascii="Times New Roman" w:hAnsi="Times New Roman"/>
                <w:sz w:val="24"/>
                <w:szCs w:val="24"/>
                <w:lang w:eastAsia="lt-LT"/>
              </w:rPr>
              <w:t>trys</w:t>
            </w:r>
            <w:r w:rsidRPr="00F464D9">
              <w:rPr>
                <w:rFonts w:ascii="Times New Roman" w:hAnsi="Times New Roman"/>
                <w:sz w:val="24"/>
                <w:szCs w:val="24"/>
                <w:lang w:eastAsia="lt-LT"/>
              </w:rPr>
              <w:t xml:space="preserve"> </w:t>
            </w:r>
            <w:r>
              <w:rPr>
                <w:rFonts w:ascii="Times New Roman" w:hAnsi="Times New Roman"/>
                <w:sz w:val="24"/>
                <w:szCs w:val="24"/>
                <w:lang w:eastAsia="lt-LT"/>
              </w:rPr>
              <w:t xml:space="preserve">pirmiau nurodyti </w:t>
            </w:r>
            <w:r w:rsidRPr="00F464D9">
              <w:rPr>
                <w:rFonts w:ascii="Times New Roman" w:hAnsi="Times New Roman"/>
                <w:sz w:val="24"/>
                <w:szCs w:val="24"/>
                <w:lang w:eastAsia="lt-LT"/>
              </w:rPr>
              <w:t>paklausimai.</w:t>
            </w:r>
            <w:r w:rsidRPr="00F47820">
              <w:rPr>
                <w:rFonts w:ascii="Times New Roman" w:hAnsi="Times New Roman"/>
                <w:sz w:val="24"/>
                <w:szCs w:val="24"/>
                <w:lang w:eastAsia="lt-LT"/>
              </w:rPr>
              <w:t xml:space="preserve"> </w:t>
            </w:r>
            <w:r w:rsidRPr="00F464D9">
              <w:rPr>
                <w:rFonts w:ascii="Times New Roman" w:hAnsi="Times New Roman"/>
                <w:sz w:val="24"/>
                <w:szCs w:val="24"/>
                <w:lang w:eastAsia="lt-LT"/>
              </w:rPr>
              <w:t xml:space="preserve">Pareiškėja atsakymuose į paklausimus </w:t>
            </w:r>
            <w:r>
              <w:rPr>
                <w:rFonts w:ascii="Times New Roman" w:hAnsi="Times New Roman"/>
                <w:sz w:val="24"/>
                <w:szCs w:val="24"/>
                <w:lang w:eastAsia="lt-LT"/>
              </w:rPr>
              <w:t xml:space="preserve">iš </w:t>
            </w:r>
            <w:r w:rsidRPr="00F464D9">
              <w:rPr>
                <w:rFonts w:ascii="Times New Roman" w:hAnsi="Times New Roman"/>
                <w:sz w:val="24"/>
                <w:szCs w:val="24"/>
                <w:lang w:eastAsia="lt-LT"/>
              </w:rPr>
              <w:t>dali</w:t>
            </w:r>
            <w:r>
              <w:rPr>
                <w:rFonts w:ascii="Times New Roman" w:hAnsi="Times New Roman"/>
                <w:sz w:val="24"/>
                <w:szCs w:val="24"/>
                <w:lang w:eastAsia="lt-LT"/>
              </w:rPr>
              <w:t>es</w:t>
            </w:r>
            <w:r w:rsidRPr="00F464D9">
              <w:rPr>
                <w:rFonts w:ascii="Times New Roman" w:hAnsi="Times New Roman"/>
                <w:sz w:val="24"/>
                <w:szCs w:val="24"/>
                <w:lang w:eastAsia="lt-LT"/>
              </w:rPr>
              <w:t xml:space="preserve"> pateikė prašomą informaciją ir pakoregavo verslo plano duomenis, tačiau nepateikė prašytos informacijos:</w:t>
            </w:r>
          </w:p>
          <w:p w14:paraId="260E818E" w14:textId="77777777" w:rsidR="00AE6E2B" w:rsidRPr="00F464D9" w:rsidRDefault="00AE6E2B" w:rsidP="00AE6E2B">
            <w:pPr>
              <w:numPr>
                <w:ilvl w:val="0"/>
                <w:numId w:val="7"/>
              </w:numPr>
              <w:spacing w:after="0" w:line="240" w:lineRule="auto"/>
              <w:ind w:left="0"/>
              <w:jc w:val="both"/>
              <w:rPr>
                <w:rFonts w:ascii="Times New Roman" w:hAnsi="Times New Roman"/>
                <w:sz w:val="24"/>
                <w:szCs w:val="24"/>
                <w:lang w:eastAsia="lt-LT"/>
              </w:rPr>
            </w:pPr>
            <w:r w:rsidRPr="00F47820">
              <w:rPr>
                <w:rFonts w:ascii="Times New Roman" w:hAnsi="Times New Roman"/>
                <w:sz w:val="24"/>
                <w:szCs w:val="24"/>
              </w:rPr>
              <w:t xml:space="preserve">             </w:t>
            </w:r>
            <w:r w:rsidRPr="00F464D9">
              <w:rPr>
                <w:rFonts w:ascii="Times New Roman" w:hAnsi="Times New Roman"/>
                <w:sz w:val="24"/>
                <w:szCs w:val="24"/>
                <w:lang w:eastAsia="lt-LT"/>
              </w:rPr>
              <w:t>Verslo plano II skyriuje apie mailiaus ir pašarų tiekėjus;</w:t>
            </w:r>
          </w:p>
          <w:p w14:paraId="158CE52D" w14:textId="77777777" w:rsidR="00AE6E2B" w:rsidRPr="00F464D9" w:rsidRDefault="00AE6E2B" w:rsidP="00AE6E2B">
            <w:pPr>
              <w:numPr>
                <w:ilvl w:val="0"/>
                <w:numId w:val="7"/>
              </w:numPr>
              <w:spacing w:after="0" w:line="240" w:lineRule="auto"/>
              <w:ind w:left="0"/>
              <w:jc w:val="both"/>
              <w:rPr>
                <w:rFonts w:ascii="Times New Roman" w:hAnsi="Times New Roman"/>
                <w:sz w:val="24"/>
                <w:szCs w:val="24"/>
                <w:lang w:eastAsia="lt-LT"/>
              </w:rPr>
            </w:pPr>
            <w:r w:rsidRPr="00F47820">
              <w:rPr>
                <w:rFonts w:ascii="Times New Roman" w:hAnsi="Times New Roman"/>
                <w:sz w:val="24"/>
                <w:szCs w:val="24"/>
              </w:rPr>
              <w:t xml:space="preserve">             </w:t>
            </w:r>
            <w:r w:rsidRPr="00F464D9">
              <w:rPr>
                <w:rFonts w:ascii="Times New Roman" w:hAnsi="Times New Roman"/>
                <w:sz w:val="24"/>
                <w:szCs w:val="24"/>
                <w:lang w:eastAsia="lt-LT"/>
              </w:rPr>
              <w:t>Verslo plano VI skyriuje „Informacija apie įmonės veiklos sąnaudas“ nedetalizavo produkcijos savikainos, o pateikė bendra suma;</w:t>
            </w:r>
          </w:p>
          <w:p w14:paraId="5940B8DA" w14:textId="77777777" w:rsidR="00AE6E2B" w:rsidRPr="00F464D9" w:rsidRDefault="00AE6E2B" w:rsidP="00AE6E2B">
            <w:pPr>
              <w:numPr>
                <w:ilvl w:val="0"/>
                <w:numId w:val="7"/>
              </w:numPr>
              <w:spacing w:after="0" w:line="240" w:lineRule="auto"/>
              <w:ind w:left="0"/>
              <w:jc w:val="both"/>
              <w:rPr>
                <w:rFonts w:ascii="Times New Roman" w:hAnsi="Times New Roman"/>
                <w:sz w:val="24"/>
                <w:szCs w:val="24"/>
                <w:lang w:eastAsia="lt-LT"/>
              </w:rPr>
            </w:pPr>
            <w:r w:rsidRPr="00F47820">
              <w:rPr>
                <w:rFonts w:ascii="Times New Roman" w:hAnsi="Times New Roman"/>
                <w:sz w:val="24"/>
                <w:szCs w:val="24"/>
              </w:rPr>
              <w:t xml:space="preserve">             </w:t>
            </w:r>
            <w:r w:rsidRPr="00F464D9">
              <w:rPr>
                <w:rFonts w:ascii="Times New Roman" w:hAnsi="Times New Roman"/>
                <w:sz w:val="24"/>
                <w:szCs w:val="24"/>
                <w:lang w:eastAsia="lt-LT"/>
              </w:rPr>
              <w:t>Verslo plano IV skyriuje „Informacija apie įmonės organizacinį valdymo struktūrą ir darbuotojus“ nepateikė informacijos apie darbuotojų skaičių, pareigyb</w:t>
            </w:r>
            <w:r>
              <w:rPr>
                <w:rFonts w:ascii="Times New Roman" w:hAnsi="Times New Roman"/>
                <w:sz w:val="24"/>
                <w:szCs w:val="24"/>
                <w:lang w:eastAsia="lt-LT"/>
              </w:rPr>
              <w:t>e</w:t>
            </w:r>
            <w:r w:rsidRPr="00F464D9">
              <w:rPr>
                <w:rFonts w:ascii="Times New Roman" w:hAnsi="Times New Roman"/>
                <w:sz w:val="24"/>
                <w:szCs w:val="24"/>
                <w:lang w:eastAsia="lt-LT"/>
              </w:rPr>
              <w:t>s, atliekamas funkcijas, darbo užmokestį.</w:t>
            </w:r>
          </w:p>
          <w:p w14:paraId="2300644E" w14:textId="77777777" w:rsidR="00AE6E2B" w:rsidRPr="00F464D9" w:rsidRDefault="00AE6E2B" w:rsidP="00AE6E2B">
            <w:pPr>
              <w:spacing w:after="0" w:line="259" w:lineRule="auto"/>
              <w:jc w:val="both"/>
              <w:rPr>
                <w:rFonts w:ascii="Times New Roman" w:hAnsi="Times New Roman"/>
                <w:sz w:val="24"/>
                <w:szCs w:val="24"/>
                <w:lang w:eastAsia="lt-LT"/>
              </w:rPr>
            </w:pPr>
            <w:r w:rsidRPr="00F47820">
              <w:rPr>
                <w:rFonts w:ascii="Times New Roman" w:hAnsi="Times New Roman"/>
                <w:sz w:val="24"/>
                <w:szCs w:val="24"/>
              </w:rPr>
              <w:t xml:space="preserve">             </w:t>
            </w:r>
            <w:r w:rsidRPr="00F464D9">
              <w:rPr>
                <w:rFonts w:ascii="Times New Roman" w:hAnsi="Times New Roman"/>
                <w:sz w:val="24"/>
                <w:szCs w:val="24"/>
                <w:lang w:eastAsia="lt-LT"/>
              </w:rPr>
              <w:t xml:space="preserve">Dėl informacijos trūkumo negalima nustatyti, ar verslo planas yra ekonomiškai pagrįstas, todėl </w:t>
            </w:r>
            <w:r>
              <w:rPr>
                <w:rFonts w:ascii="Times New Roman" w:hAnsi="Times New Roman"/>
                <w:sz w:val="24"/>
                <w:szCs w:val="24"/>
                <w:lang w:eastAsia="lt-LT"/>
              </w:rPr>
              <w:t>pareiškėja</w:t>
            </w:r>
            <w:r w:rsidRPr="00F464D9">
              <w:rPr>
                <w:rFonts w:ascii="Times New Roman" w:hAnsi="Times New Roman"/>
                <w:sz w:val="24"/>
                <w:szCs w:val="24"/>
                <w:lang w:eastAsia="lt-LT"/>
              </w:rPr>
              <w:t xml:space="preserve"> neatitinka Taisyklių 25 punkte nustatyto tinkamumo kriterijaus.</w:t>
            </w:r>
          </w:p>
          <w:p w14:paraId="6114C765" w14:textId="77777777" w:rsidR="00AE6E2B" w:rsidRPr="00F464D9" w:rsidRDefault="00AE6E2B" w:rsidP="00AE6E2B">
            <w:pPr>
              <w:spacing w:after="0" w:line="259" w:lineRule="auto"/>
              <w:jc w:val="both"/>
              <w:rPr>
                <w:rFonts w:ascii="Times New Roman" w:hAnsi="Times New Roman"/>
                <w:color w:val="000000"/>
                <w:sz w:val="24"/>
                <w:szCs w:val="24"/>
              </w:rPr>
            </w:pPr>
            <w:r w:rsidRPr="00F47820">
              <w:rPr>
                <w:rFonts w:ascii="Times New Roman" w:hAnsi="Times New Roman"/>
                <w:sz w:val="24"/>
                <w:szCs w:val="24"/>
              </w:rPr>
              <w:lastRenderedPageBreak/>
              <w:t xml:space="preserve">             </w:t>
            </w:r>
            <w:r w:rsidRPr="00F464D9">
              <w:rPr>
                <w:rFonts w:ascii="Times New Roman" w:hAnsi="Times New Roman"/>
                <w:sz w:val="24"/>
                <w:szCs w:val="24"/>
              </w:rPr>
              <w:t>Taisyklių 26 punkte nu</w:t>
            </w:r>
            <w:r>
              <w:rPr>
                <w:rFonts w:ascii="Times New Roman" w:hAnsi="Times New Roman"/>
                <w:sz w:val="24"/>
                <w:szCs w:val="24"/>
              </w:rPr>
              <w:t>statyta</w:t>
            </w:r>
            <w:r w:rsidRPr="00F464D9">
              <w:rPr>
                <w:rFonts w:ascii="Times New Roman" w:hAnsi="Times New Roman"/>
                <w:sz w:val="24"/>
                <w:szCs w:val="24"/>
              </w:rPr>
              <w:t xml:space="preserve">, kad pareiškėjas, teikdamas </w:t>
            </w:r>
            <w:r w:rsidRPr="00F464D9">
              <w:rPr>
                <w:rFonts w:ascii="Times New Roman" w:hAnsi="Times New Roman"/>
                <w:color w:val="000000"/>
                <w:sz w:val="24"/>
                <w:szCs w:val="24"/>
              </w:rPr>
              <w:t xml:space="preserve">paramos paraišką, turi įrodyti, kad jis atitinka ir projekto įgyvendinimo metu bei projekto kontrolės laikotarpiu prognozuojami ekonominio gyvybingumo rodikliai </w:t>
            </w:r>
            <w:r w:rsidRPr="001655A8">
              <w:rPr>
                <w:rFonts w:ascii="Times New Roman" w:hAnsi="Times New Roman"/>
                <w:color w:val="000000"/>
                <w:sz w:val="24"/>
                <w:szCs w:val="24"/>
              </w:rPr>
              <w:t>atitinka</w:t>
            </w:r>
            <w:r w:rsidRPr="00F464D9">
              <w:rPr>
                <w:rFonts w:ascii="Times New Roman" w:hAnsi="Times New Roman"/>
                <w:color w:val="000000"/>
                <w:sz w:val="24"/>
                <w:szCs w:val="24"/>
              </w:rPr>
              <w:t xml:space="preserve"> ekonominio gyvybingumo kriterijus, nustatytus Ūkio subjektų, siekiančių pasinaudoti parama pagal Lietuvos žuvininkystės sektoriaus 2014–2020 metų veiksmų programos priemones, ekonominio gyvybingumo nustatymo taisyklėse, patvirtintose Lietuvos Respublikos žemės ūkio ministro 2015 m. lapkričio 24 d. įsakymu Nr. 3D-864 „Dėl Ūkio subjektų, siekiančių pasinaudoti parama pagal Lietuvos žuvininkystės sektoriaus 2014–2020 metų veiksmų programos priemones, ekonominio gyvybingumo nustatymo taisyklių patvirtinimo“ (toliau – Ekonominio gyvybingumo nustatymo taisyklės).</w:t>
            </w:r>
          </w:p>
          <w:p w14:paraId="75325D55" w14:textId="77777777" w:rsidR="00AE6E2B" w:rsidRPr="00F464D9" w:rsidRDefault="00AE6E2B" w:rsidP="00AE6E2B">
            <w:pPr>
              <w:spacing w:after="0" w:line="259" w:lineRule="auto"/>
              <w:jc w:val="both"/>
              <w:rPr>
                <w:rFonts w:ascii="Times New Roman" w:hAnsi="Times New Roman"/>
                <w:color w:val="000000"/>
                <w:sz w:val="24"/>
                <w:szCs w:val="24"/>
              </w:rPr>
            </w:pPr>
            <w:r w:rsidRPr="00F47820">
              <w:rPr>
                <w:rFonts w:ascii="Times New Roman" w:hAnsi="Times New Roman"/>
                <w:sz w:val="24"/>
                <w:szCs w:val="24"/>
              </w:rPr>
              <w:t xml:space="preserve">             </w:t>
            </w:r>
            <w:r w:rsidRPr="00E573C5">
              <w:rPr>
                <w:rFonts w:ascii="Times New Roman" w:hAnsi="Times New Roman"/>
                <w:color w:val="000000"/>
                <w:sz w:val="24"/>
                <w:szCs w:val="24"/>
              </w:rPr>
              <w:t>Ekonominio gyvybingumo nustatymo taisyklių 8.4 papunktyje nustatyta</w:t>
            </w:r>
            <w:r w:rsidRPr="003C5D02">
              <w:rPr>
                <w:rFonts w:ascii="Times New Roman" w:hAnsi="Times New Roman"/>
                <w:color w:val="000000"/>
                <w:sz w:val="24"/>
                <w:szCs w:val="24"/>
              </w:rPr>
              <w:t>,</w:t>
            </w:r>
            <w:r w:rsidRPr="00F464D9">
              <w:rPr>
                <w:rFonts w:ascii="Times New Roman" w:hAnsi="Times New Roman"/>
                <w:color w:val="000000"/>
                <w:sz w:val="24"/>
                <w:szCs w:val="24"/>
              </w:rPr>
              <w:t xml:space="preserve"> kad veikiantys ūkio subjektai laikomi tinkamais finansinei paramai gauti, jeigu kiekvienais projekto įgyvendinimo laikotarpio finansiniais metais prognozuojamas paskolų padengimo rodiklis (ūkio subjekto verslo plane pateiktų finansinių prognozių duomenimis apskaičiuoti) atitinka Ekonominio gyvybingumo nustatymo taisyklių III skyriaus lentelėje nurodytas reikšmes </w:t>
            </w:r>
            <w:r w:rsidRPr="00E573C5">
              <w:rPr>
                <w:rFonts w:ascii="Times New Roman" w:hAnsi="Times New Roman"/>
                <w:color w:val="000000"/>
                <w:sz w:val="24"/>
                <w:szCs w:val="24"/>
              </w:rPr>
              <w:t>(≥ 1,25).</w:t>
            </w:r>
          </w:p>
          <w:p w14:paraId="28337872" w14:textId="77777777" w:rsidR="00AE6E2B" w:rsidRPr="00F464D9" w:rsidRDefault="00AE6E2B" w:rsidP="00AE6E2B">
            <w:pPr>
              <w:spacing w:after="0" w:line="259" w:lineRule="auto"/>
              <w:jc w:val="both"/>
              <w:rPr>
                <w:rFonts w:ascii="Times New Roman" w:hAnsi="Times New Roman"/>
                <w:b/>
                <w:color w:val="000000"/>
                <w:sz w:val="24"/>
                <w:szCs w:val="24"/>
              </w:rPr>
            </w:pPr>
            <w:r w:rsidRPr="00F47820">
              <w:rPr>
                <w:rFonts w:ascii="Times New Roman" w:hAnsi="Times New Roman"/>
                <w:sz w:val="24"/>
                <w:szCs w:val="24"/>
              </w:rPr>
              <w:t xml:space="preserve">             </w:t>
            </w:r>
            <w:r w:rsidRPr="00E573C5">
              <w:rPr>
                <w:rFonts w:ascii="Times New Roman" w:hAnsi="Times New Roman"/>
                <w:color w:val="000000"/>
                <w:sz w:val="24"/>
                <w:szCs w:val="24"/>
              </w:rPr>
              <w:t>Ekonominio gyvybingumo nustatymo taisyklių 8.5 papunktyje nustatyta</w:t>
            </w:r>
            <w:r w:rsidRPr="003C5D02">
              <w:rPr>
                <w:rFonts w:ascii="Times New Roman" w:hAnsi="Times New Roman"/>
                <w:color w:val="000000"/>
                <w:sz w:val="24"/>
                <w:szCs w:val="24"/>
              </w:rPr>
              <w:t>,</w:t>
            </w:r>
            <w:r w:rsidRPr="00F464D9">
              <w:rPr>
                <w:rFonts w:ascii="Times New Roman" w:hAnsi="Times New Roman"/>
                <w:color w:val="000000"/>
                <w:sz w:val="24"/>
                <w:szCs w:val="24"/>
              </w:rPr>
              <w:t xml:space="preserve"> kad veikiantys ūkio subjektai laikomi tinkamais finansinei paramai gauti, visais kitais planuojamojo laikotarpio finansiniais metais po projekto įgyvendinimo pabaigos metų prognozuojami: grynasis pelningumas, skolos ir paskolų padengimo rodikliai (ūkio subjekto verslo plane pateiktų finansinių prognozių duomenimis apskaičiuoti) atitinka Ekonominio gyvybingumo nustatymo taisyklių III skyriaus lentelėje nurodytas reikšmes</w:t>
            </w:r>
            <w:r w:rsidRPr="003C5D02">
              <w:rPr>
                <w:rFonts w:ascii="Times New Roman" w:hAnsi="Times New Roman"/>
                <w:color w:val="000000"/>
                <w:sz w:val="24"/>
                <w:szCs w:val="24"/>
              </w:rPr>
              <w:t xml:space="preserve"> </w:t>
            </w:r>
            <w:r w:rsidRPr="00E573C5">
              <w:rPr>
                <w:rFonts w:ascii="Times New Roman" w:hAnsi="Times New Roman"/>
                <w:color w:val="000000"/>
                <w:sz w:val="24"/>
                <w:szCs w:val="24"/>
              </w:rPr>
              <w:t>(grynasis pelningumas ≥ 2 proc.; skolos ≤ 0,60; paskolų padengimo ≥ 1,25).</w:t>
            </w:r>
          </w:p>
          <w:p w14:paraId="59A07CE9" w14:textId="77777777" w:rsidR="00AE6E2B" w:rsidRPr="00F464D9" w:rsidRDefault="00AE6E2B" w:rsidP="00AE6E2B">
            <w:pPr>
              <w:spacing w:after="0" w:line="259" w:lineRule="auto"/>
              <w:jc w:val="both"/>
              <w:rPr>
                <w:rFonts w:ascii="Times New Roman" w:hAnsi="Times New Roman"/>
                <w:color w:val="000000"/>
                <w:sz w:val="24"/>
                <w:szCs w:val="24"/>
              </w:rPr>
            </w:pPr>
            <w:r w:rsidRPr="00F47820">
              <w:rPr>
                <w:rFonts w:ascii="Times New Roman" w:hAnsi="Times New Roman"/>
                <w:sz w:val="24"/>
                <w:szCs w:val="24"/>
              </w:rPr>
              <w:t xml:space="preserve">             </w:t>
            </w:r>
            <w:r w:rsidRPr="00E573C5">
              <w:rPr>
                <w:rFonts w:ascii="Times New Roman" w:hAnsi="Times New Roman"/>
                <w:color w:val="000000"/>
                <w:sz w:val="24"/>
                <w:szCs w:val="24"/>
              </w:rPr>
              <w:t>Ekonominio gyvybingumo nustatymo taisyklių 10 punkte nustatyta</w:t>
            </w:r>
            <w:r w:rsidRPr="003C5D02">
              <w:rPr>
                <w:rFonts w:ascii="Times New Roman" w:hAnsi="Times New Roman"/>
                <w:color w:val="000000"/>
                <w:sz w:val="24"/>
                <w:szCs w:val="24"/>
              </w:rPr>
              <w:t>,</w:t>
            </w:r>
            <w:r w:rsidRPr="00F464D9">
              <w:rPr>
                <w:rFonts w:ascii="Times New Roman" w:hAnsi="Times New Roman"/>
                <w:color w:val="000000"/>
                <w:sz w:val="24"/>
                <w:szCs w:val="24"/>
              </w:rPr>
              <w:t xml:space="preserve"> kad ūkio subjekto vidinė grąžos norma turi atitikti Ekonominio gyvybingumo nustatymo taisyklių III skyriaus lentelėje nurodytą reikšmę (≥ 4,4 proc.).</w:t>
            </w:r>
          </w:p>
          <w:p w14:paraId="7CE4EC21" w14:textId="77777777" w:rsidR="00AE6E2B" w:rsidRPr="00F464D9" w:rsidRDefault="00AE6E2B" w:rsidP="00AE6E2B">
            <w:pPr>
              <w:spacing w:after="0" w:line="259" w:lineRule="auto"/>
              <w:jc w:val="both"/>
              <w:rPr>
                <w:rFonts w:ascii="Times New Roman" w:hAnsi="Times New Roman"/>
                <w:sz w:val="24"/>
                <w:szCs w:val="24"/>
              </w:rPr>
            </w:pPr>
            <w:r w:rsidRPr="00F47820">
              <w:rPr>
                <w:rFonts w:ascii="Times New Roman" w:hAnsi="Times New Roman"/>
                <w:sz w:val="24"/>
                <w:szCs w:val="24"/>
              </w:rPr>
              <w:t xml:space="preserve">             </w:t>
            </w:r>
            <w:r w:rsidRPr="00F464D9">
              <w:rPr>
                <w:rFonts w:ascii="Times New Roman" w:hAnsi="Times New Roman"/>
                <w:color w:val="000000"/>
                <w:sz w:val="24"/>
                <w:szCs w:val="24"/>
              </w:rPr>
              <w:t xml:space="preserve">Pareiškėja 2017 m. lapkričio 16 d. (registracijos Nr. BR5.3-2576) </w:t>
            </w:r>
            <w:r w:rsidRPr="00F464D9">
              <w:rPr>
                <w:rFonts w:ascii="Times New Roman" w:hAnsi="Times New Roman"/>
                <w:sz w:val="24"/>
                <w:szCs w:val="24"/>
              </w:rPr>
              <w:t xml:space="preserve">kartu su atsakymu į </w:t>
            </w:r>
            <w:r>
              <w:rPr>
                <w:rFonts w:ascii="Times New Roman" w:hAnsi="Times New Roman"/>
                <w:sz w:val="24"/>
                <w:szCs w:val="24"/>
              </w:rPr>
              <w:t>antrąjį p</w:t>
            </w:r>
            <w:r w:rsidRPr="00F464D9">
              <w:rPr>
                <w:rFonts w:ascii="Times New Roman" w:hAnsi="Times New Roman"/>
                <w:sz w:val="24"/>
                <w:szCs w:val="24"/>
              </w:rPr>
              <w:t xml:space="preserve">aklausimą  pateikė pakoreguotas verslo plano finansines prognozes, pagal kurias apskaičiuoti ekonominio gyvybingumo rodikliai paskolų padengimo ir vidinės grąžos normos neatitiko Ekonominio gyvybingumo </w:t>
            </w:r>
            <w:r>
              <w:rPr>
                <w:rFonts w:ascii="Times New Roman" w:hAnsi="Times New Roman"/>
                <w:sz w:val="24"/>
                <w:szCs w:val="24"/>
              </w:rPr>
              <w:t xml:space="preserve">nustatymo </w:t>
            </w:r>
            <w:r w:rsidRPr="00F464D9">
              <w:rPr>
                <w:rFonts w:ascii="Times New Roman" w:hAnsi="Times New Roman"/>
                <w:sz w:val="24"/>
                <w:szCs w:val="24"/>
              </w:rPr>
              <w:t>taisyklių III skyriaus lentelėje pateiktų reikšmių, todėl buvo si</w:t>
            </w:r>
            <w:r>
              <w:rPr>
                <w:rFonts w:ascii="Times New Roman" w:hAnsi="Times New Roman"/>
                <w:sz w:val="24"/>
                <w:szCs w:val="24"/>
              </w:rPr>
              <w:t>ų</w:t>
            </w:r>
            <w:r w:rsidRPr="00F464D9">
              <w:rPr>
                <w:rFonts w:ascii="Times New Roman" w:hAnsi="Times New Roman"/>
                <w:sz w:val="24"/>
                <w:szCs w:val="24"/>
              </w:rPr>
              <w:t xml:space="preserve">stas </w:t>
            </w:r>
            <w:r>
              <w:rPr>
                <w:rFonts w:ascii="Times New Roman" w:hAnsi="Times New Roman"/>
                <w:sz w:val="24"/>
                <w:szCs w:val="24"/>
              </w:rPr>
              <w:t>trečiasis p</w:t>
            </w:r>
            <w:r w:rsidRPr="00F464D9">
              <w:rPr>
                <w:rFonts w:ascii="Times New Roman" w:hAnsi="Times New Roman"/>
                <w:sz w:val="24"/>
                <w:szCs w:val="24"/>
              </w:rPr>
              <w:t>aklausimas.</w:t>
            </w:r>
          </w:p>
          <w:p w14:paraId="7543A6FF" w14:textId="31329016" w:rsidR="00AE6E2B" w:rsidRPr="001655A8" w:rsidRDefault="00AE6E2B" w:rsidP="00AE6E2B">
            <w:pPr>
              <w:pStyle w:val="Default"/>
              <w:jc w:val="both"/>
            </w:pPr>
            <w:r w:rsidRPr="00F47820">
              <w:t xml:space="preserve">             </w:t>
            </w:r>
            <w:r w:rsidRPr="00F464D9">
              <w:t xml:space="preserve">Atsakydama į </w:t>
            </w:r>
            <w:r>
              <w:t>trečiąjį p</w:t>
            </w:r>
            <w:r w:rsidRPr="00F464D9">
              <w:t>aklausimą, pareiškėja 2017 m. gruodžio 27 d. (registracijos Nr. BR5.3-2932) pateikė pakoreguotas verslo plano finansines prognozes. Pinigų srautų prognozėse 2.8 eilutėje „Kiti investicinės veiklos pinigų srautų padidėjimai“ 2019 metais apskaityt</w:t>
            </w:r>
            <w:r>
              <w:t>a</w:t>
            </w:r>
            <w:r w:rsidRPr="00F464D9">
              <w:t xml:space="preserve"> 25</w:t>
            </w:r>
            <w:r>
              <w:t xml:space="preserve"> </w:t>
            </w:r>
            <w:r w:rsidRPr="00F464D9">
              <w:t xml:space="preserve">320 Eur, o </w:t>
            </w:r>
            <w:r>
              <w:t xml:space="preserve">per </w:t>
            </w:r>
            <w:r w:rsidRPr="00F464D9">
              <w:t>2020</w:t>
            </w:r>
            <w:r>
              <w:t>–</w:t>
            </w:r>
            <w:r w:rsidRPr="00F464D9">
              <w:t>2024 metų laikotarp</w:t>
            </w:r>
            <w:r>
              <w:t>į</w:t>
            </w:r>
            <w:r w:rsidRPr="00F464D9">
              <w:t xml:space="preserve"> po 42</w:t>
            </w:r>
            <w:r>
              <w:t xml:space="preserve"> </w:t>
            </w:r>
            <w:r w:rsidRPr="00F464D9">
              <w:t xml:space="preserve">847 Eur. Pareiškėja nepateikė </w:t>
            </w:r>
            <w:r>
              <w:t>trečiajame p</w:t>
            </w:r>
            <w:r w:rsidRPr="00F464D9">
              <w:t xml:space="preserve">aklausime prašyto paaiškinimo apie šias sumas. Pažymėtina, kad šios sumos sutampa su verslo plano VI skyriaus „Informacija apie įmonės veiklos sąnaudas“ </w:t>
            </w:r>
            <w:r w:rsidRPr="001655A8">
              <w:t xml:space="preserve">duomenimis, nurodytais sąnaudų straipsnyje „Europos Sąjungos paramos nusidėvėjimas“. Tuo tarpu 5-ojo verslo apskaitos standarto „Pinigų srautų ataskaita“, patvirtinto Audito ir apskaitos tarnybos </w:t>
            </w:r>
            <w:r w:rsidRPr="001655A8">
              <w:lastRenderedPageBreak/>
              <w:t>direktoriaus 2010 m. birželio 4 d. įsakymu Nr. VAS-14</w:t>
            </w:r>
            <w:r>
              <w:t xml:space="preserve"> „Dėl 5-ojo verslo apskaitos standarto „Pinigų s</w:t>
            </w:r>
            <w:r w:rsidR="00C844B3">
              <w:t>r</w:t>
            </w:r>
            <w:r>
              <w:t xml:space="preserve">autų ataskaita“ tvirtinimo“, (toliau – </w:t>
            </w:r>
            <w:r w:rsidRPr="001655A8">
              <w:t>5-</w:t>
            </w:r>
            <w:r>
              <w:t>asis</w:t>
            </w:r>
            <w:r w:rsidRPr="001655A8">
              <w:t xml:space="preserve"> verslo apskaitos standart</w:t>
            </w:r>
            <w:r>
              <w:t>as)</w:t>
            </w:r>
            <w:r w:rsidRPr="001655A8">
              <w:t>,</w:t>
            </w:r>
            <w:r>
              <w:t xml:space="preserve"> </w:t>
            </w:r>
            <w:r w:rsidRPr="001655A8">
              <w:t xml:space="preserve">V </w:t>
            </w:r>
            <w:r>
              <w:t>skyriuje</w:t>
            </w:r>
            <w:r w:rsidRPr="001655A8">
              <w:t xml:space="preserve"> „Investicinė įmonės veikla“ 14 punkte nustatyta: </w:t>
            </w:r>
          </w:p>
          <w:p w14:paraId="3F6A6BF7" w14:textId="77777777" w:rsidR="00AE6E2B" w:rsidRPr="00F464D9" w:rsidRDefault="00AE6E2B" w:rsidP="00AE6E2B">
            <w:pPr>
              <w:autoSpaceDE w:val="0"/>
              <w:autoSpaceDN w:val="0"/>
              <w:adjustRightInd w:val="0"/>
              <w:spacing w:after="0" w:line="240" w:lineRule="auto"/>
              <w:rPr>
                <w:rFonts w:ascii="Times New Roman" w:eastAsia="Times New Roman" w:hAnsi="Times New Roman"/>
                <w:color w:val="000000"/>
                <w:sz w:val="24"/>
                <w:szCs w:val="24"/>
              </w:rPr>
            </w:pPr>
            <w:r w:rsidRPr="00F47820">
              <w:rPr>
                <w:rFonts w:ascii="Times New Roman" w:hAnsi="Times New Roman"/>
                <w:sz w:val="24"/>
                <w:szCs w:val="24"/>
              </w:rPr>
              <w:t xml:space="preserve">             </w:t>
            </w:r>
            <w:r w:rsidRPr="00F464D9">
              <w:rPr>
                <w:rFonts w:ascii="Times New Roman" w:eastAsia="Times New Roman" w:hAnsi="Times New Roman"/>
                <w:color w:val="000000"/>
                <w:sz w:val="24"/>
                <w:szCs w:val="24"/>
              </w:rPr>
              <w:t xml:space="preserve">Įmonės investicinės veiklos pinigų įplaukų pavyzdžiai: </w:t>
            </w:r>
          </w:p>
          <w:p w14:paraId="70BCA8C9" w14:textId="77777777" w:rsidR="00AE6E2B" w:rsidRPr="00F464D9" w:rsidRDefault="00AE6E2B" w:rsidP="00AE6E2B">
            <w:pPr>
              <w:autoSpaceDE w:val="0"/>
              <w:autoSpaceDN w:val="0"/>
              <w:adjustRightInd w:val="0"/>
              <w:spacing w:after="0" w:line="240" w:lineRule="auto"/>
              <w:rPr>
                <w:rFonts w:ascii="Times New Roman" w:eastAsia="Times New Roman" w:hAnsi="Times New Roman"/>
                <w:color w:val="000000"/>
                <w:sz w:val="24"/>
                <w:szCs w:val="24"/>
              </w:rPr>
            </w:pPr>
            <w:r w:rsidRPr="00F47820">
              <w:rPr>
                <w:rFonts w:ascii="Times New Roman" w:hAnsi="Times New Roman"/>
                <w:sz w:val="24"/>
                <w:szCs w:val="24"/>
              </w:rPr>
              <w:t xml:space="preserve">             </w:t>
            </w:r>
            <w:r w:rsidRPr="00F464D9">
              <w:rPr>
                <w:rFonts w:ascii="Times New Roman" w:eastAsia="Times New Roman" w:hAnsi="Times New Roman"/>
                <w:color w:val="000000"/>
                <w:sz w:val="24"/>
                <w:szCs w:val="24"/>
              </w:rPr>
              <w:t xml:space="preserve">14.1. pinigų įplaukos perleidžiant nematerialųjį ir ilgalaikį materialųjį turtą; </w:t>
            </w:r>
          </w:p>
          <w:p w14:paraId="10A420DB" w14:textId="77777777" w:rsidR="00AE6E2B" w:rsidRPr="00F464D9" w:rsidRDefault="00AE6E2B" w:rsidP="00AE6E2B">
            <w:pPr>
              <w:autoSpaceDE w:val="0"/>
              <w:autoSpaceDN w:val="0"/>
              <w:adjustRightInd w:val="0"/>
              <w:spacing w:after="0" w:line="240" w:lineRule="auto"/>
              <w:rPr>
                <w:rFonts w:ascii="Times New Roman" w:eastAsia="Times New Roman" w:hAnsi="Times New Roman"/>
                <w:color w:val="000000"/>
                <w:sz w:val="24"/>
                <w:szCs w:val="24"/>
              </w:rPr>
            </w:pPr>
            <w:r w:rsidRPr="00F47820">
              <w:rPr>
                <w:rFonts w:ascii="Times New Roman" w:hAnsi="Times New Roman"/>
                <w:sz w:val="24"/>
                <w:szCs w:val="24"/>
              </w:rPr>
              <w:t xml:space="preserve">             </w:t>
            </w:r>
            <w:r w:rsidRPr="00F464D9">
              <w:rPr>
                <w:rFonts w:ascii="Times New Roman" w:eastAsia="Times New Roman" w:hAnsi="Times New Roman"/>
                <w:color w:val="000000"/>
                <w:sz w:val="24"/>
                <w:szCs w:val="24"/>
              </w:rPr>
              <w:t xml:space="preserve">14.2. pinigų įplaukos susigrąžinant paskolas iš trečiųjų asmenų; </w:t>
            </w:r>
          </w:p>
          <w:p w14:paraId="038D3287" w14:textId="77777777" w:rsidR="00AE6E2B" w:rsidRPr="00F464D9" w:rsidRDefault="00AE6E2B" w:rsidP="00AE6E2B">
            <w:pPr>
              <w:autoSpaceDE w:val="0"/>
              <w:autoSpaceDN w:val="0"/>
              <w:adjustRightInd w:val="0"/>
              <w:spacing w:after="0" w:line="240" w:lineRule="auto"/>
              <w:rPr>
                <w:rFonts w:ascii="Times New Roman" w:eastAsia="Times New Roman" w:hAnsi="Times New Roman"/>
                <w:color w:val="000000"/>
                <w:sz w:val="24"/>
                <w:szCs w:val="24"/>
              </w:rPr>
            </w:pPr>
            <w:r w:rsidRPr="00F47820">
              <w:rPr>
                <w:rFonts w:ascii="Times New Roman" w:hAnsi="Times New Roman"/>
                <w:sz w:val="24"/>
                <w:szCs w:val="24"/>
              </w:rPr>
              <w:t xml:space="preserve">             </w:t>
            </w:r>
            <w:r w:rsidRPr="00F464D9">
              <w:rPr>
                <w:rFonts w:ascii="Times New Roman" w:eastAsia="Times New Roman" w:hAnsi="Times New Roman"/>
                <w:color w:val="000000"/>
                <w:sz w:val="24"/>
                <w:szCs w:val="24"/>
              </w:rPr>
              <w:t xml:space="preserve">14.3. pinigų įplaukos pardavus kitų įmonių vertybinius popierius ir kitas investicijas (jei šios įplaukos pagal apskaitos politiką priskiriamos prie investicinės veiklos); </w:t>
            </w:r>
          </w:p>
          <w:p w14:paraId="5AD804A9" w14:textId="77777777" w:rsidR="00AE6E2B" w:rsidRDefault="00AE6E2B" w:rsidP="00AE6E2B">
            <w:pPr>
              <w:autoSpaceDE w:val="0"/>
              <w:autoSpaceDN w:val="0"/>
              <w:adjustRightInd w:val="0"/>
              <w:spacing w:after="0" w:line="240" w:lineRule="auto"/>
              <w:rPr>
                <w:rFonts w:ascii="Times New Roman" w:eastAsia="Times New Roman" w:hAnsi="Times New Roman"/>
                <w:color w:val="000000"/>
                <w:sz w:val="24"/>
                <w:szCs w:val="24"/>
              </w:rPr>
            </w:pPr>
            <w:r w:rsidRPr="00F47820">
              <w:rPr>
                <w:rFonts w:ascii="Times New Roman" w:hAnsi="Times New Roman"/>
                <w:sz w:val="24"/>
                <w:szCs w:val="24"/>
              </w:rPr>
              <w:t xml:space="preserve">             </w:t>
            </w:r>
            <w:r w:rsidRPr="00F464D9">
              <w:rPr>
                <w:rFonts w:ascii="Times New Roman" w:eastAsia="Times New Roman" w:hAnsi="Times New Roman"/>
                <w:color w:val="000000"/>
                <w:sz w:val="24"/>
                <w:szCs w:val="24"/>
              </w:rPr>
              <w:t>14.4. iš kitų įmonių gauti dividendai (jei šios įplaukos pagal apskaitos politiką priskiriamos prie investicinės veiklos);</w:t>
            </w:r>
          </w:p>
          <w:p w14:paraId="2C37BA43" w14:textId="77777777" w:rsidR="00AE6E2B" w:rsidRPr="00F464D9" w:rsidRDefault="00AE6E2B" w:rsidP="00AE6E2B">
            <w:pPr>
              <w:autoSpaceDE w:val="0"/>
              <w:autoSpaceDN w:val="0"/>
              <w:adjustRightInd w:val="0"/>
              <w:spacing w:after="0" w:line="240" w:lineRule="auto"/>
              <w:rPr>
                <w:rFonts w:ascii="Times New Roman" w:eastAsia="Times New Roman" w:hAnsi="Times New Roman"/>
                <w:sz w:val="24"/>
                <w:szCs w:val="24"/>
              </w:rPr>
            </w:pPr>
            <w:r w:rsidRPr="00F47820">
              <w:rPr>
                <w:rFonts w:ascii="Times New Roman" w:hAnsi="Times New Roman"/>
                <w:sz w:val="24"/>
                <w:szCs w:val="24"/>
              </w:rPr>
              <w:t xml:space="preserve">             </w:t>
            </w:r>
            <w:r w:rsidRPr="00F464D9">
              <w:rPr>
                <w:rFonts w:ascii="Times New Roman" w:eastAsia="Times New Roman" w:hAnsi="Times New Roman"/>
                <w:sz w:val="24"/>
                <w:szCs w:val="24"/>
              </w:rPr>
              <w:t xml:space="preserve">14.5. gautos palūkanos už suteiktas paskolas ir investicijas (jei šios įplaukos pagal apskaitos politiką priskiriamos prie investicinės veiklos); </w:t>
            </w:r>
          </w:p>
          <w:p w14:paraId="70F16145" w14:textId="77777777" w:rsidR="00AE6E2B" w:rsidRPr="00F464D9" w:rsidRDefault="00AE6E2B" w:rsidP="00AE6E2B">
            <w:pPr>
              <w:spacing w:after="0" w:line="259" w:lineRule="auto"/>
              <w:jc w:val="both"/>
              <w:rPr>
                <w:rFonts w:ascii="Times New Roman" w:hAnsi="Times New Roman"/>
                <w:sz w:val="24"/>
                <w:szCs w:val="24"/>
              </w:rPr>
            </w:pPr>
            <w:r w:rsidRPr="00F47820">
              <w:rPr>
                <w:rFonts w:ascii="Times New Roman" w:hAnsi="Times New Roman"/>
                <w:sz w:val="24"/>
                <w:szCs w:val="24"/>
              </w:rPr>
              <w:t xml:space="preserve">             </w:t>
            </w:r>
            <w:r w:rsidRPr="00F464D9">
              <w:rPr>
                <w:rFonts w:ascii="Times New Roman" w:hAnsi="Times New Roman"/>
                <w:sz w:val="24"/>
                <w:szCs w:val="24"/>
              </w:rPr>
              <w:t>14.6. pinigų įplaukos susigrąžinant terminuotuosius indėlius, išskyrus trumpalaikes investicijas, kurios priskiriamos pinigų ekvivalentams.</w:t>
            </w:r>
          </w:p>
          <w:p w14:paraId="772D9876" w14:textId="77777777" w:rsidR="00AE6E2B" w:rsidRPr="00F464D9" w:rsidRDefault="00AE6E2B" w:rsidP="00AE6E2B">
            <w:pPr>
              <w:spacing w:after="0" w:line="259" w:lineRule="auto"/>
              <w:jc w:val="both"/>
              <w:rPr>
                <w:rFonts w:ascii="Times New Roman" w:hAnsi="Times New Roman"/>
                <w:sz w:val="24"/>
                <w:szCs w:val="24"/>
              </w:rPr>
            </w:pPr>
            <w:r w:rsidRPr="00F47820">
              <w:rPr>
                <w:rFonts w:ascii="Times New Roman" w:hAnsi="Times New Roman"/>
                <w:sz w:val="24"/>
                <w:szCs w:val="24"/>
              </w:rPr>
              <w:t xml:space="preserve">             </w:t>
            </w:r>
            <w:r w:rsidRPr="00F464D9">
              <w:rPr>
                <w:rFonts w:ascii="Times New Roman" w:hAnsi="Times New Roman"/>
                <w:sz w:val="24"/>
                <w:szCs w:val="24"/>
              </w:rPr>
              <w:t xml:space="preserve">Atsižvelgiant į 5-ojo verslo apskaitos standarto reikalavimus, </w:t>
            </w:r>
            <w:r>
              <w:rPr>
                <w:rFonts w:ascii="Times New Roman" w:hAnsi="Times New Roman"/>
                <w:sz w:val="24"/>
                <w:szCs w:val="24"/>
              </w:rPr>
              <w:t>p</w:t>
            </w:r>
            <w:r w:rsidRPr="00F464D9">
              <w:rPr>
                <w:rFonts w:ascii="Times New Roman" w:hAnsi="Times New Roman"/>
                <w:sz w:val="24"/>
                <w:szCs w:val="24"/>
              </w:rPr>
              <w:t>areiškėja negali E</w:t>
            </w:r>
            <w:r>
              <w:rPr>
                <w:rFonts w:ascii="Times New Roman" w:hAnsi="Times New Roman"/>
                <w:sz w:val="24"/>
                <w:szCs w:val="24"/>
              </w:rPr>
              <w:t xml:space="preserve">uropos </w:t>
            </w:r>
            <w:r w:rsidRPr="00F464D9">
              <w:rPr>
                <w:rFonts w:ascii="Times New Roman" w:hAnsi="Times New Roman"/>
                <w:sz w:val="24"/>
                <w:szCs w:val="24"/>
              </w:rPr>
              <w:t>S</w:t>
            </w:r>
            <w:r>
              <w:rPr>
                <w:rFonts w:ascii="Times New Roman" w:hAnsi="Times New Roman"/>
                <w:sz w:val="24"/>
                <w:szCs w:val="24"/>
              </w:rPr>
              <w:t>ąjungos</w:t>
            </w:r>
            <w:r w:rsidRPr="00F464D9">
              <w:rPr>
                <w:rFonts w:ascii="Times New Roman" w:hAnsi="Times New Roman"/>
                <w:sz w:val="24"/>
                <w:szCs w:val="24"/>
              </w:rPr>
              <w:t xml:space="preserve"> paramos nusidėvėjimą priskirti prie įmonės investicinės veiklos pinigų įplaukų. Be to</w:t>
            </w:r>
            <w:r>
              <w:rPr>
                <w:rFonts w:ascii="Times New Roman" w:hAnsi="Times New Roman"/>
                <w:sz w:val="24"/>
                <w:szCs w:val="24"/>
              </w:rPr>
              <w:t>,</w:t>
            </w:r>
            <w:r w:rsidRPr="00F464D9">
              <w:rPr>
                <w:rFonts w:ascii="Times New Roman" w:hAnsi="Times New Roman"/>
                <w:sz w:val="24"/>
                <w:szCs w:val="24"/>
              </w:rPr>
              <w:t xml:space="preserve"> </w:t>
            </w:r>
            <w:r>
              <w:rPr>
                <w:rFonts w:ascii="Times New Roman" w:hAnsi="Times New Roman"/>
                <w:sz w:val="24"/>
                <w:szCs w:val="24"/>
              </w:rPr>
              <w:t>p</w:t>
            </w:r>
            <w:r w:rsidRPr="00F464D9">
              <w:rPr>
                <w:rFonts w:ascii="Times New Roman" w:hAnsi="Times New Roman"/>
                <w:sz w:val="24"/>
                <w:szCs w:val="24"/>
              </w:rPr>
              <w:t>areiškėja apskaito visą planuojamą gauti paramos sumą (be nusidėvėjimo) pinigų srautų 2018 m. (178</w:t>
            </w:r>
            <w:r>
              <w:rPr>
                <w:rFonts w:ascii="Times New Roman" w:hAnsi="Times New Roman"/>
                <w:sz w:val="24"/>
                <w:szCs w:val="24"/>
              </w:rPr>
              <w:t xml:space="preserve"> </w:t>
            </w:r>
            <w:r w:rsidRPr="00F464D9">
              <w:rPr>
                <w:rFonts w:ascii="Times New Roman" w:hAnsi="Times New Roman"/>
                <w:sz w:val="24"/>
                <w:szCs w:val="24"/>
              </w:rPr>
              <w:t xml:space="preserve">113 Eur) ir 2019 m.  </w:t>
            </w:r>
            <w:r>
              <w:rPr>
                <w:rFonts w:ascii="Times New Roman" w:hAnsi="Times New Roman"/>
                <w:sz w:val="24"/>
                <w:szCs w:val="24"/>
              </w:rPr>
              <w:t xml:space="preserve">                     </w:t>
            </w:r>
            <w:r w:rsidRPr="00F464D9">
              <w:rPr>
                <w:rFonts w:ascii="Times New Roman" w:hAnsi="Times New Roman"/>
                <w:sz w:val="24"/>
                <w:szCs w:val="24"/>
              </w:rPr>
              <w:t>(319</w:t>
            </w:r>
            <w:r>
              <w:rPr>
                <w:rFonts w:ascii="Times New Roman" w:hAnsi="Times New Roman"/>
                <w:sz w:val="24"/>
                <w:szCs w:val="24"/>
              </w:rPr>
              <w:t xml:space="preserve"> </w:t>
            </w:r>
            <w:r w:rsidRPr="00F464D9">
              <w:rPr>
                <w:rFonts w:ascii="Times New Roman" w:hAnsi="Times New Roman"/>
                <w:sz w:val="24"/>
                <w:szCs w:val="24"/>
              </w:rPr>
              <w:t>200 Eur) prognozėse, eilutėje 3.2.5. „Kiti finansinės veiklos pinigų srautų padidėjimai“. Todėl, skaičiuojant vidinės grąžos normos rodiklį, 2019 m. (25</w:t>
            </w:r>
            <w:r>
              <w:rPr>
                <w:rFonts w:ascii="Times New Roman" w:hAnsi="Times New Roman"/>
                <w:sz w:val="24"/>
                <w:szCs w:val="24"/>
              </w:rPr>
              <w:t xml:space="preserve"> </w:t>
            </w:r>
            <w:r w:rsidRPr="00F464D9">
              <w:rPr>
                <w:rFonts w:ascii="Times New Roman" w:hAnsi="Times New Roman"/>
                <w:sz w:val="24"/>
                <w:szCs w:val="24"/>
              </w:rPr>
              <w:t>320 Eur) ir 2020</w:t>
            </w:r>
            <w:r>
              <w:rPr>
                <w:rFonts w:ascii="Times New Roman" w:hAnsi="Times New Roman"/>
                <w:sz w:val="24"/>
                <w:szCs w:val="24"/>
              </w:rPr>
              <w:t>–</w:t>
            </w:r>
            <w:r w:rsidRPr="00F464D9">
              <w:rPr>
                <w:rFonts w:ascii="Times New Roman" w:hAnsi="Times New Roman"/>
                <w:sz w:val="24"/>
                <w:szCs w:val="24"/>
              </w:rPr>
              <w:t>2023 m. (42</w:t>
            </w:r>
            <w:r>
              <w:rPr>
                <w:rFonts w:ascii="Times New Roman" w:hAnsi="Times New Roman"/>
                <w:sz w:val="24"/>
                <w:szCs w:val="24"/>
              </w:rPr>
              <w:t xml:space="preserve"> </w:t>
            </w:r>
            <w:r w:rsidRPr="00F464D9">
              <w:rPr>
                <w:rFonts w:ascii="Times New Roman" w:hAnsi="Times New Roman"/>
                <w:sz w:val="24"/>
                <w:szCs w:val="24"/>
              </w:rPr>
              <w:t>847 Eur) investicinės veiklos įplaukos nebuvo įtrauktos į rodiklio skaičiavimus.</w:t>
            </w:r>
          </w:p>
          <w:p w14:paraId="2B3EE593" w14:textId="77777777" w:rsidR="00AE6E2B" w:rsidRPr="00F464D9" w:rsidRDefault="00AE6E2B" w:rsidP="00AE6E2B">
            <w:pPr>
              <w:spacing w:after="0" w:line="259" w:lineRule="auto"/>
              <w:jc w:val="both"/>
              <w:rPr>
                <w:rFonts w:ascii="Times New Roman" w:hAnsi="Times New Roman"/>
                <w:sz w:val="24"/>
                <w:szCs w:val="24"/>
              </w:rPr>
            </w:pPr>
            <w:r w:rsidRPr="00F47820">
              <w:rPr>
                <w:rFonts w:ascii="Times New Roman" w:hAnsi="Times New Roman"/>
                <w:sz w:val="24"/>
                <w:szCs w:val="24"/>
              </w:rPr>
              <w:t xml:space="preserve">             </w:t>
            </w:r>
            <w:r w:rsidRPr="00F464D9">
              <w:rPr>
                <w:rFonts w:ascii="Times New Roman" w:hAnsi="Times New Roman"/>
                <w:sz w:val="24"/>
                <w:szCs w:val="24"/>
              </w:rPr>
              <w:t xml:space="preserve">Pagal pateiktus </w:t>
            </w:r>
            <w:r>
              <w:rPr>
                <w:rFonts w:ascii="Times New Roman" w:hAnsi="Times New Roman"/>
                <w:sz w:val="24"/>
                <w:szCs w:val="24"/>
              </w:rPr>
              <w:t>p</w:t>
            </w:r>
            <w:r w:rsidRPr="00F464D9">
              <w:rPr>
                <w:rFonts w:ascii="Times New Roman" w:hAnsi="Times New Roman"/>
                <w:sz w:val="24"/>
                <w:szCs w:val="24"/>
              </w:rPr>
              <w:t>areiškėjos duomenis ir atsižvelgiant į 5-ojo verslo apskaitos standarto reikalavimus bei vadovau</w:t>
            </w:r>
            <w:r>
              <w:rPr>
                <w:rFonts w:ascii="Times New Roman" w:hAnsi="Times New Roman"/>
                <w:sz w:val="24"/>
                <w:szCs w:val="24"/>
              </w:rPr>
              <w:t>j</w:t>
            </w:r>
            <w:r w:rsidRPr="00F464D9">
              <w:rPr>
                <w:rFonts w:ascii="Times New Roman" w:hAnsi="Times New Roman"/>
                <w:sz w:val="24"/>
                <w:szCs w:val="24"/>
              </w:rPr>
              <w:t>a</w:t>
            </w:r>
            <w:r>
              <w:rPr>
                <w:rFonts w:ascii="Times New Roman" w:hAnsi="Times New Roman"/>
                <w:sz w:val="24"/>
                <w:szCs w:val="24"/>
              </w:rPr>
              <w:t>ntis</w:t>
            </w:r>
            <w:r w:rsidRPr="00F464D9">
              <w:rPr>
                <w:rFonts w:ascii="Times New Roman" w:hAnsi="Times New Roman"/>
                <w:sz w:val="24"/>
                <w:szCs w:val="24"/>
              </w:rPr>
              <w:t xml:space="preserve"> Ekonominio gyvybingumo </w:t>
            </w:r>
            <w:r>
              <w:rPr>
                <w:rFonts w:ascii="Times New Roman" w:hAnsi="Times New Roman"/>
                <w:sz w:val="24"/>
                <w:szCs w:val="24"/>
              </w:rPr>
              <w:t xml:space="preserve">nustatymo </w:t>
            </w:r>
            <w:r w:rsidRPr="00F464D9">
              <w:rPr>
                <w:rFonts w:ascii="Times New Roman" w:hAnsi="Times New Roman"/>
                <w:sz w:val="24"/>
                <w:szCs w:val="24"/>
              </w:rPr>
              <w:t>taisyklių 4,</w:t>
            </w:r>
            <w:r>
              <w:rPr>
                <w:rFonts w:ascii="Times New Roman" w:hAnsi="Times New Roman"/>
                <w:sz w:val="24"/>
                <w:szCs w:val="24"/>
              </w:rPr>
              <w:t xml:space="preserve"> </w:t>
            </w:r>
            <w:r w:rsidRPr="00F464D9">
              <w:rPr>
                <w:rFonts w:ascii="Times New Roman" w:hAnsi="Times New Roman"/>
                <w:sz w:val="24"/>
                <w:szCs w:val="24"/>
              </w:rPr>
              <w:t>5,</w:t>
            </w:r>
            <w:r>
              <w:rPr>
                <w:rFonts w:ascii="Times New Roman" w:hAnsi="Times New Roman"/>
                <w:sz w:val="24"/>
                <w:szCs w:val="24"/>
              </w:rPr>
              <w:t xml:space="preserve"> </w:t>
            </w:r>
            <w:r w:rsidRPr="00F464D9">
              <w:rPr>
                <w:rFonts w:ascii="Times New Roman" w:hAnsi="Times New Roman"/>
                <w:sz w:val="24"/>
                <w:szCs w:val="24"/>
              </w:rPr>
              <w:t>6,</w:t>
            </w:r>
            <w:r>
              <w:rPr>
                <w:rFonts w:ascii="Times New Roman" w:hAnsi="Times New Roman"/>
                <w:sz w:val="24"/>
                <w:szCs w:val="24"/>
              </w:rPr>
              <w:t xml:space="preserve"> </w:t>
            </w:r>
            <w:r w:rsidRPr="00F464D9">
              <w:rPr>
                <w:rFonts w:ascii="Times New Roman" w:hAnsi="Times New Roman"/>
                <w:sz w:val="24"/>
                <w:szCs w:val="24"/>
              </w:rPr>
              <w:t>7 punktais buvo apskaičiuoti ekonominio gyvybingumo rodikliai.</w:t>
            </w:r>
          </w:p>
          <w:p w14:paraId="26F9F1E0" w14:textId="77777777" w:rsidR="00AE6E2B" w:rsidRPr="003C5D02" w:rsidRDefault="00AE6E2B" w:rsidP="00AE6E2B">
            <w:pPr>
              <w:numPr>
                <w:ilvl w:val="0"/>
                <w:numId w:val="7"/>
              </w:numPr>
              <w:shd w:val="clear" w:color="auto" w:fill="FFFFFF"/>
              <w:spacing w:after="0" w:line="240" w:lineRule="auto"/>
              <w:ind w:left="0"/>
              <w:jc w:val="both"/>
              <w:rPr>
                <w:rFonts w:ascii="Times New Roman" w:eastAsia="Times New Roman" w:hAnsi="Times New Roman"/>
                <w:sz w:val="24"/>
                <w:szCs w:val="24"/>
              </w:rPr>
            </w:pPr>
            <w:r w:rsidRPr="00F47820">
              <w:rPr>
                <w:rFonts w:ascii="Times New Roman" w:hAnsi="Times New Roman"/>
                <w:sz w:val="24"/>
                <w:szCs w:val="24"/>
              </w:rPr>
              <w:t xml:space="preserve">           </w:t>
            </w:r>
            <w:r w:rsidRPr="003C5D02">
              <w:rPr>
                <w:rFonts w:ascii="Times New Roman" w:hAnsi="Times New Roman"/>
                <w:sz w:val="24"/>
                <w:szCs w:val="24"/>
              </w:rPr>
              <w:t xml:space="preserve">  </w:t>
            </w:r>
            <w:r w:rsidRPr="00E573C5">
              <w:rPr>
                <w:rFonts w:ascii="Times New Roman" w:eastAsia="Times New Roman" w:hAnsi="Times New Roman"/>
                <w:sz w:val="24"/>
                <w:szCs w:val="24"/>
              </w:rPr>
              <w:t xml:space="preserve">Paskolų padengimo rodiklis apskaičiuotas pagal Ekonominio gyvybingumo nustatymo taisyklių 6 punkte pateiktą formulę: </w:t>
            </w:r>
          </w:p>
          <w:p w14:paraId="5DC0DE10" w14:textId="77777777" w:rsidR="00AE6E2B" w:rsidRPr="00F464D9" w:rsidRDefault="00AE6E2B" w:rsidP="00AE6E2B">
            <w:pPr>
              <w:shd w:val="clear" w:color="auto" w:fill="FFFFFF"/>
              <w:spacing w:after="0" w:line="240" w:lineRule="auto"/>
              <w:ind w:firstLine="720"/>
              <w:jc w:val="both"/>
              <w:rPr>
                <w:rFonts w:ascii="Times New Roman" w:eastAsia="Times New Roman" w:hAnsi="Times New Roman"/>
                <w:sz w:val="24"/>
                <w:szCs w:val="24"/>
              </w:rPr>
            </w:pPr>
            <w:r w:rsidRPr="00F464D9">
              <w:rPr>
                <w:rFonts w:ascii="Times New Roman" w:eastAsia="Times New Roman" w:hAnsi="Times New Roman"/>
                <w:sz w:val="24"/>
                <w:szCs w:val="24"/>
              </w:rPr>
              <w:t> </w:t>
            </w:r>
          </w:p>
          <w:p w14:paraId="4B13F4C9" w14:textId="77777777" w:rsidR="00AE6E2B" w:rsidRPr="00F464D9" w:rsidRDefault="00AE6E2B" w:rsidP="00AE6E2B">
            <w:pPr>
              <w:shd w:val="clear" w:color="auto" w:fill="FFFFFF"/>
              <w:spacing w:after="0" w:line="240" w:lineRule="auto"/>
              <w:ind w:firstLine="720"/>
              <w:jc w:val="both"/>
              <w:rPr>
                <w:rFonts w:ascii="Times New Roman" w:eastAsia="Times New Roman" w:hAnsi="Times New Roman"/>
                <w:color w:val="000000"/>
                <w:sz w:val="24"/>
                <w:szCs w:val="24"/>
              </w:rPr>
            </w:pPr>
            <w:r w:rsidRPr="00F464D9">
              <w:rPr>
                <w:rFonts w:ascii="Times New Roman" w:eastAsia="Times New Roman" w:hAnsi="Times New Roman"/>
                <w:noProof/>
                <w:color w:val="000000"/>
                <w:sz w:val="24"/>
                <w:szCs w:val="24"/>
                <w:lang w:eastAsia="lt-LT"/>
              </w:rPr>
              <w:drawing>
                <wp:inline distT="0" distB="0" distL="0" distR="0" wp14:anchorId="4D0B311A" wp14:editId="4167A22A">
                  <wp:extent cx="1143000" cy="447675"/>
                  <wp:effectExtent l="0" t="0" r="0" b="9525"/>
                  <wp:docPr id="2" name="Picture 1" descr="http://www.infolex.lt/ta/PictureThumbnail.aspx?Id=73fa8547-8e7e-481f-8878-a3f9a3eada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ttp://www.infolex.lt/ta/PictureThumbnail.aspx?Id=73fa8547-8e7e-481f-8878-a3f9a3eadae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447675"/>
                          </a:xfrm>
                          <a:prstGeom prst="rect">
                            <a:avLst/>
                          </a:prstGeom>
                          <a:noFill/>
                          <a:ln>
                            <a:noFill/>
                          </a:ln>
                        </pic:spPr>
                      </pic:pic>
                    </a:graphicData>
                  </a:graphic>
                </wp:inline>
              </w:drawing>
            </w:r>
          </w:p>
          <w:p w14:paraId="57A2AF37" w14:textId="77777777" w:rsidR="00AE6E2B" w:rsidRPr="00F464D9" w:rsidRDefault="00AE6E2B" w:rsidP="00AE6E2B">
            <w:pPr>
              <w:shd w:val="clear" w:color="auto" w:fill="FFFFFF"/>
              <w:spacing w:after="0" w:line="240" w:lineRule="auto"/>
              <w:ind w:firstLine="720"/>
              <w:jc w:val="both"/>
              <w:rPr>
                <w:rFonts w:ascii="Times New Roman" w:eastAsia="Times New Roman" w:hAnsi="Times New Roman"/>
                <w:color w:val="000000"/>
                <w:sz w:val="24"/>
                <w:szCs w:val="24"/>
              </w:rPr>
            </w:pPr>
            <w:r w:rsidRPr="00F464D9">
              <w:rPr>
                <w:rFonts w:ascii="Times New Roman" w:eastAsia="Times New Roman" w:hAnsi="Times New Roman"/>
                <w:color w:val="000000"/>
                <w:sz w:val="24"/>
                <w:szCs w:val="24"/>
              </w:rPr>
              <w:t>čia: </w:t>
            </w:r>
            <w:r w:rsidRPr="00F464D9">
              <w:rPr>
                <w:rFonts w:ascii="Times New Roman" w:eastAsia="Times New Roman" w:hAnsi="Times New Roman"/>
                <w:i/>
                <w:iCs/>
                <w:color w:val="000000"/>
                <w:sz w:val="24"/>
                <w:szCs w:val="24"/>
              </w:rPr>
              <w:t>PVS </w:t>
            </w:r>
            <w:r w:rsidRPr="00F464D9">
              <w:rPr>
                <w:rFonts w:ascii="Times New Roman" w:eastAsia="Times New Roman" w:hAnsi="Times New Roman"/>
                <w:color w:val="000000"/>
                <w:sz w:val="24"/>
                <w:szCs w:val="24"/>
              </w:rPr>
              <w:t>– pagrindinės veiklos pinigų srautai per finansinius metus, įskaitant su pajamomis susijusias dotacijas, eurais;</w:t>
            </w:r>
          </w:p>
          <w:p w14:paraId="1728B5E9" w14:textId="77777777" w:rsidR="00AE6E2B" w:rsidRPr="00F464D9" w:rsidRDefault="00AE6E2B" w:rsidP="00AE6E2B">
            <w:pPr>
              <w:shd w:val="clear" w:color="auto" w:fill="FFFFFF"/>
              <w:spacing w:after="0" w:line="240" w:lineRule="auto"/>
              <w:ind w:firstLine="720"/>
              <w:jc w:val="both"/>
              <w:rPr>
                <w:rFonts w:ascii="Times New Roman" w:eastAsia="Times New Roman" w:hAnsi="Times New Roman"/>
                <w:color w:val="000000"/>
                <w:sz w:val="24"/>
                <w:szCs w:val="24"/>
              </w:rPr>
            </w:pPr>
            <w:r w:rsidRPr="00F464D9">
              <w:rPr>
                <w:rFonts w:ascii="Times New Roman" w:eastAsia="Times New Roman" w:hAnsi="Times New Roman"/>
                <w:i/>
                <w:iCs/>
                <w:color w:val="000000"/>
                <w:sz w:val="24"/>
                <w:szCs w:val="24"/>
              </w:rPr>
              <w:t>DT </w:t>
            </w:r>
            <w:r w:rsidRPr="00F464D9">
              <w:rPr>
                <w:rFonts w:ascii="Times New Roman" w:eastAsia="Times New Roman" w:hAnsi="Times New Roman"/>
                <w:color w:val="000000"/>
                <w:sz w:val="24"/>
                <w:szCs w:val="24"/>
              </w:rPr>
              <w:t>– per finansinius metus gautos su turtu susijusios dotacijos, eurais;</w:t>
            </w:r>
          </w:p>
          <w:p w14:paraId="0FD778D3" w14:textId="77777777" w:rsidR="00AE6E2B" w:rsidRPr="00F464D9" w:rsidRDefault="00AE6E2B" w:rsidP="00AE6E2B">
            <w:pPr>
              <w:shd w:val="clear" w:color="auto" w:fill="FFFFFF"/>
              <w:spacing w:after="0" w:line="240" w:lineRule="auto"/>
              <w:ind w:firstLine="720"/>
              <w:jc w:val="both"/>
              <w:rPr>
                <w:rFonts w:ascii="Times New Roman" w:eastAsia="Times New Roman" w:hAnsi="Times New Roman"/>
                <w:color w:val="000000"/>
                <w:sz w:val="24"/>
                <w:szCs w:val="24"/>
              </w:rPr>
            </w:pPr>
            <w:proofErr w:type="spellStart"/>
            <w:r w:rsidRPr="00F464D9">
              <w:rPr>
                <w:rFonts w:ascii="Times New Roman" w:eastAsia="Times New Roman" w:hAnsi="Times New Roman"/>
                <w:i/>
                <w:iCs/>
                <w:color w:val="000000"/>
                <w:sz w:val="24"/>
                <w:szCs w:val="24"/>
              </w:rPr>
              <w:t>S</w:t>
            </w:r>
            <w:r w:rsidRPr="00F464D9">
              <w:rPr>
                <w:rFonts w:ascii="Times New Roman" w:eastAsia="Times New Roman" w:hAnsi="Times New Roman"/>
                <w:i/>
                <w:iCs/>
                <w:color w:val="000000"/>
                <w:sz w:val="24"/>
                <w:szCs w:val="24"/>
                <w:vertAlign w:val="subscript"/>
              </w:rPr>
              <w:t>g</w:t>
            </w:r>
            <w:proofErr w:type="spellEnd"/>
            <w:r w:rsidRPr="00F464D9">
              <w:rPr>
                <w:rFonts w:ascii="Times New Roman" w:eastAsia="Times New Roman" w:hAnsi="Times New Roman"/>
                <w:i/>
                <w:iCs/>
                <w:color w:val="000000"/>
                <w:sz w:val="24"/>
                <w:szCs w:val="24"/>
              </w:rPr>
              <w:t> </w:t>
            </w:r>
            <w:r w:rsidRPr="00F464D9">
              <w:rPr>
                <w:rFonts w:ascii="Times New Roman" w:eastAsia="Times New Roman" w:hAnsi="Times New Roman"/>
                <w:color w:val="000000"/>
                <w:sz w:val="24"/>
                <w:szCs w:val="24"/>
              </w:rPr>
              <w:t>– grąžintos paskolos kreditoriams, kitos finansinės skolos ir sumokėtos lizingo įmokos per finansinius metus eurais.</w:t>
            </w:r>
            <w:r w:rsidRPr="00F464D9">
              <w:rPr>
                <w:rFonts w:ascii="Times New Roman" w:eastAsia="Times New Roman" w:hAnsi="Times New Roman"/>
                <w:b/>
                <w:bCs/>
                <w:color w:val="000000"/>
                <w:sz w:val="24"/>
                <w:szCs w:val="24"/>
              </w:rPr>
              <w:t> </w:t>
            </w:r>
            <w:r w:rsidRPr="00F464D9">
              <w:rPr>
                <w:rFonts w:ascii="Times New Roman" w:eastAsia="Times New Roman" w:hAnsi="Times New Roman"/>
                <w:color w:val="000000"/>
                <w:sz w:val="24"/>
                <w:szCs w:val="24"/>
              </w:rPr>
              <w:t xml:space="preserve">Perfinansuotos paskolos į grąžintų paskolų sumą neįskaičiuojamos. Kredito linijos </w:t>
            </w:r>
            <w:r w:rsidRPr="00F464D9">
              <w:rPr>
                <w:rFonts w:ascii="Times New Roman" w:eastAsia="Times New Roman" w:hAnsi="Times New Roman"/>
                <w:color w:val="000000"/>
                <w:sz w:val="24"/>
                <w:szCs w:val="24"/>
              </w:rPr>
              <w:lastRenderedPageBreak/>
              <w:t>grąžinimo suma per metus skaičiuojama grynąja verte, t. y. skaičiuojamas skirtumas tarp kredito linijos likučio metų pradžioje ir likučio metų pabaigoje;</w:t>
            </w:r>
          </w:p>
          <w:p w14:paraId="5842ED93" w14:textId="77777777" w:rsidR="00AE6E2B" w:rsidRPr="00F47820" w:rsidRDefault="00AE6E2B" w:rsidP="00AE6E2B">
            <w:pPr>
              <w:shd w:val="clear" w:color="auto" w:fill="FFFFFF"/>
              <w:spacing w:after="0" w:line="240" w:lineRule="auto"/>
              <w:ind w:firstLine="720"/>
              <w:jc w:val="both"/>
              <w:rPr>
                <w:rFonts w:ascii="Times New Roman" w:eastAsia="Times New Roman" w:hAnsi="Times New Roman"/>
                <w:color w:val="000000"/>
                <w:sz w:val="24"/>
                <w:szCs w:val="24"/>
                <w:u w:val="single"/>
              </w:rPr>
            </w:pPr>
            <w:r w:rsidRPr="00F464D9">
              <w:rPr>
                <w:rFonts w:ascii="Times New Roman" w:eastAsia="Times New Roman" w:hAnsi="Times New Roman"/>
                <w:i/>
                <w:iCs/>
                <w:color w:val="000000"/>
                <w:sz w:val="24"/>
                <w:szCs w:val="24"/>
              </w:rPr>
              <w:t>PL</w:t>
            </w:r>
            <w:r w:rsidRPr="00F464D9">
              <w:rPr>
                <w:rFonts w:ascii="Times New Roman" w:eastAsia="Times New Roman" w:hAnsi="Times New Roman"/>
                <w:i/>
                <w:iCs/>
                <w:color w:val="000000"/>
                <w:sz w:val="24"/>
                <w:szCs w:val="24"/>
                <w:vertAlign w:val="subscript"/>
              </w:rPr>
              <w:t> </w:t>
            </w:r>
            <w:r w:rsidRPr="00F464D9">
              <w:rPr>
                <w:rFonts w:ascii="Times New Roman" w:eastAsia="Times New Roman" w:hAnsi="Times New Roman"/>
                <w:color w:val="000000"/>
                <w:sz w:val="24"/>
                <w:szCs w:val="24"/>
              </w:rPr>
              <w:t>– sumokėtos palūkanos per ataskaitinius metus eurais.</w:t>
            </w:r>
          </w:p>
          <w:p w14:paraId="1AA0FFB7" w14:textId="77777777" w:rsidR="00AE6E2B" w:rsidRPr="00E573C5" w:rsidRDefault="00AE6E2B" w:rsidP="00AE6E2B">
            <w:pPr>
              <w:spacing w:after="0" w:line="259" w:lineRule="auto"/>
              <w:jc w:val="both"/>
              <w:rPr>
                <w:rFonts w:ascii="Times New Roman" w:hAnsi="Times New Roman"/>
                <w:sz w:val="24"/>
                <w:szCs w:val="24"/>
              </w:rPr>
            </w:pPr>
            <w:r w:rsidRPr="00F47820">
              <w:rPr>
                <w:rFonts w:ascii="Times New Roman" w:hAnsi="Times New Roman"/>
                <w:sz w:val="24"/>
                <w:szCs w:val="24"/>
              </w:rPr>
              <w:t xml:space="preserve">             </w:t>
            </w:r>
            <w:r w:rsidRPr="00E573C5">
              <w:rPr>
                <w:rFonts w:ascii="Times New Roman" w:hAnsi="Times New Roman"/>
                <w:sz w:val="24"/>
                <w:szCs w:val="24"/>
              </w:rPr>
              <w:t>Paskolų padengimo rodiklis projekto įgyvendinimo 2019 metais siekia 1,13 ((10757+319200)/(226000+65340)); projekto kontrolės laikotarpiu 2020 metais siekia 0,61 ((82370+0)/(100000+36000)); 2021 metais 0,71 ((90287+0)/(100000+27000)); 2022 metais 0,84 ((98818+0)/(100000+18000)); 2023 metais 0,52 ((107818+0)/(200000+9000)).</w:t>
            </w:r>
          </w:p>
          <w:p w14:paraId="2D7EC4C2" w14:textId="77777777" w:rsidR="00AE6E2B" w:rsidRPr="00F464D9" w:rsidRDefault="00AE6E2B" w:rsidP="00AE6E2B">
            <w:pPr>
              <w:numPr>
                <w:ilvl w:val="0"/>
                <w:numId w:val="7"/>
              </w:numPr>
              <w:shd w:val="clear" w:color="auto" w:fill="FFFFFF"/>
              <w:spacing w:after="0" w:line="240" w:lineRule="auto"/>
              <w:ind w:left="0"/>
              <w:jc w:val="both"/>
              <w:rPr>
                <w:rFonts w:ascii="Times New Roman" w:eastAsia="Times New Roman" w:hAnsi="Times New Roman"/>
                <w:color w:val="000000"/>
                <w:sz w:val="24"/>
                <w:szCs w:val="24"/>
              </w:rPr>
            </w:pPr>
            <w:r w:rsidRPr="00F47820">
              <w:rPr>
                <w:rFonts w:ascii="Times New Roman" w:hAnsi="Times New Roman"/>
                <w:sz w:val="24"/>
                <w:szCs w:val="24"/>
              </w:rPr>
              <w:t xml:space="preserve">             </w:t>
            </w:r>
            <w:r w:rsidRPr="00E573C5">
              <w:rPr>
                <w:rFonts w:ascii="Times New Roman" w:eastAsia="Times New Roman" w:hAnsi="Times New Roman"/>
                <w:sz w:val="24"/>
                <w:szCs w:val="24"/>
              </w:rPr>
              <w:t>Vidinės grąžos normos rodiklis apskaičiuotas pagal Ekonominio gyvybingumo</w:t>
            </w:r>
            <w:r>
              <w:rPr>
                <w:rFonts w:ascii="Times New Roman" w:eastAsia="Times New Roman" w:hAnsi="Times New Roman"/>
                <w:sz w:val="24"/>
                <w:szCs w:val="24"/>
              </w:rPr>
              <w:t xml:space="preserve"> nustatymo</w:t>
            </w:r>
            <w:r w:rsidRPr="00E573C5">
              <w:rPr>
                <w:rFonts w:ascii="Times New Roman" w:eastAsia="Times New Roman" w:hAnsi="Times New Roman"/>
                <w:sz w:val="24"/>
                <w:szCs w:val="24"/>
              </w:rPr>
              <w:t xml:space="preserve"> taisyklių 7 punkte pateiktą formulę, skaičiuojant </w:t>
            </w:r>
            <w:r w:rsidRPr="00F464D9">
              <w:rPr>
                <w:rFonts w:ascii="Times New Roman" w:eastAsia="Times New Roman" w:hAnsi="Times New Roman"/>
                <w:color w:val="000000"/>
                <w:sz w:val="24"/>
                <w:szCs w:val="24"/>
                <w:shd w:val="clear" w:color="auto" w:fill="FFFFFF"/>
              </w:rPr>
              <w:t>Microsoft Excel aplinkoje, naudojant funkciją IRR (</w:t>
            </w:r>
            <w:proofErr w:type="spellStart"/>
            <w:r w:rsidRPr="00F464D9">
              <w:rPr>
                <w:rFonts w:ascii="Times New Roman" w:eastAsia="Times New Roman" w:hAnsi="Times New Roman"/>
                <w:color w:val="000000"/>
                <w:sz w:val="24"/>
                <w:szCs w:val="24"/>
                <w:shd w:val="clear" w:color="auto" w:fill="FFFFFF"/>
              </w:rPr>
              <w:t>Insert</w:t>
            </w:r>
            <w:proofErr w:type="spellEnd"/>
            <w:r w:rsidRPr="00F464D9">
              <w:rPr>
                <w:rFonts w:ascii="Times New Roman" w:eastAsia="Times New Roman" w:hAnsi="Times New Roman"/>
                <w:color w:val="000000"/>
                <w:sz w:val="24"/>
                <w:szCs w:val="24"/>
                <w:shd w:val="clear" w:color="auto" w:fill="FFFFFF"/>
              </w:rPr>
              <w:t>/</w:t>
            </w:r>
            <w:proofErr w:type="spellStart"/>
            <w:r w:rsidRPr="00F464D9">
              <w:rPr>
                <w:rFonts w:ascii="Times New Roman" w:eastAsia="Times New Roman" w:hAnsi="Times New Roman"/>
                <w:color w:val="000000"/>
                <w:sz w:val="24"/>
                <w:szCs w:val="24"/>
                <w:shd w:val="clear" w:color="auto" w:fill="FFFFFF"/>
              </w:rPr>
              <w:t>function</w:t>
            </w:r>
            <w:proofErr w:type="spellEnd"/>
            <w:r w:rsidRPr="00F464D9">
              <w:rPr>
                <w:rFonts w:ascii="Times New Roman" w:eastAsia="Times New Roman" w:hAnsi="Times New Roman"/>
                <w:color w:val="000000"/>
                <w:sz w:val="24"/>
                <w:szCs w:val="24"/>
                <w:shd w:val="clear" w:color="auto" w:fill="FFFFFF"/>
              </w:rPr>
              <w:t>.../</w:t>
            </w:r>
            <w:proofErr w:type="spellStart"/>
            <w:r w:rsidRPr="00F464D9">
              <w:rPr>
                <w:rFonts w:ascii="Times New Roman" w:eastAsia="Times New Roman" w:hAnsi="Times New Roman"/>
                <w:color w:val="000000"/>
                <w:sz w:val="24"/>
                <w:szCs w:val="24"/>
                <w:shd w:val="clear" w:color="auto" w:fill="FFFFFF"/>
              </w:rPr>
              <w:t>Or</w:t>
            </w:r>
            <w:proofErr w:type="spellEnd"/>
            <w:r w:rsidRPr="00F464D9">
              <w:rPr>
                <w:rFonts w:ascii="Times New Roman" w:eastAsia="Times New Roman" w:hAnsi="Times New Roman"/>
                <w:color w:val="000000"/>
                <w:sz w:val="24"/>
                <w:szCs w:val="24"/>
                <w:shd w:val="clear" w:color="auto" w:fill="FFFFFF"/>
              </w:rPr>
              <w:t xml:space="preserve"> </w:t>
            </w:r>
            <w:proofErr w:type="spellStart"/>
            <w:r w:rsidRPr="00F464D9">
              <w:rPr>
                <w:rFonts w:ascii="Times New Roman" w:eastAsia="Times New Roman" w:hAnsi="Times New Roman"/>
                <w:color w:val="000000"/>
                <w:sz w:val="24"/>
                <w:szCs w:val="24"/>
                <w:shd w:val="clear" w:color="auto" w:fill="FFFFFF"/>
              </w:rPr>
              <w:t>select</w:t>
            </w:r>
            <w:proofErr w:type="spellEnd"/>
            <w:r w:rsidRPr="00F464D9">
              <w:rPr>
                <w:rFonts w:ascii="Times New Roman" w:eastAsia="Times New Roman" w:hAnsi="Times New Roman"/>
                <w:color w:val="000000"/>
                <w:sz w:val="24"/>
                <w:szCs w:val="24"/>
                <w:shd w:val="clear" w:color="auto" w:fill="FFFFFF"/>
              </w:rPr>
              <w:t xml:space="preserve"> a </w:t>
            </w:r>
            <w:proofErr w:type="spellStart"/>
            <w:r w:rsidRPr="00F464D9">
              <w:rPr>
                <w:rFonts w:ascii="Times New Roman" w:eastAsia="Times New Roman" w:hAnsi="Times New Roman"/>
                <w:color w:val="000000"/>
                <w:sz w:val="24"/>
                <w:szCs w:val="24"/>
                <w:shd w:val="clear" w:color="auto" w:fill="FFFFFF"/>
              </w:rPr>
              <w:t>category</w:t>
            </w:r>
            <w:proofErr w:type="spellEnd"/>
            <w:r w:rsidRPr="00F464D9">
              <w:rPr>
                <w:rFonts w:ascii="Times New Roman" w:eastAsia="Times New Roman" w:hAnsi="Times New Roman"/>
                <w:color w:val="000000"/>
                <w:sz w:val="24"/>
                <w:szCs w:val="24"/>
                <w:shd w:val="clear" w:color="auto" w:fill="FFFFFF"/>
              </w:rPr>
              <w:t xml:space="preserve">: Financial, </w:t>
            </w:r>
            <w:proofErr w:type="spellStart"/>
            <w:r w:rsidRPr="00F464D9">
              <w:rPr>
                <w:rFonts w:ascii="Times New Roman" w:eastAsia="Times New Roman" w:hAnsi="Times New Roman"/>
                <w:color w:val="000000"/>
                <w:sz w:val="24"/>
                <w:szCs w:val="24"/>
                <w:shd w:val="clear" w:color="auto" w:fill="FFFFFF"/>
              </w:rPr>
              <w:t>Select</w:t>
            </w:r>
            <w:proofErr w:type="spellEnd"/>
            <w:r w:rsidRPr="00F464D9">
              <w:rPr>
                <w:rFonts w:ascii="Times New Roman" w:eastAsia="Times New Roman" w:hAnsi="Times New Roman"/>
                <w:color w:val="000000"/>
                <w:sz w:val="24"/>
                <w:szCs w:val="24"/>
                <w:shd w:val="clear" w:color="auto" w:fill="FFFFFF"/>
              </w:rPr>
              <w:t xml:space="preserve"> a </w:t>
            </w:r>
            <w:proofErr w:type="spellStart"/>
            <w:r w:rsidRPr="00F464D9">
              <w:rPr>
                <w:rFonts w:ascii="Times New Roman" w:eastAsia="Times New Roman" w:hAnsi="Times New Roman"/>
                <w:color w:val="000000"/>
                <w:sz w:val="24"/>
                <w:szCs w:val="24"/>
                <w:shd w:val="clear" w:color="auto" w:fill="FFFFFF"/>
              </w:rPr>
              <w:t>function</w:t>
            </w:r>
            <w:proofErr w:type="spellEnd"/>
            <w:r w:rsidRPr="00F464D9">
              <w:rPr>
                <w:rFonts w:ascii="Times New Roman" w:eastAsia="Times New Roman" w:hAnsi="Times New Roman"/>
                <w:color w:val="000000"/>
                <w:sz w:val="24"/>
                <w:szCs w:val="24"/>
                <w:shd w:val="clear" w:color="auto" w:fill="FFFFFF"/>
              </w:rPr>
              <w:t>):</w:t>
            </w:r>
          </w:p>
          <w:p w14:paraId="734EFF92" w14:textId="77777777" w:rsidR="00AE6E2B" w:rsidRPr="00F464D9" w:rsidRDefault="00AE6E2B" w:rsidP="00AE6E2B">
            <w:pPr>
              <w:shd w:val="clear" w:color="auto" w:fill="FFFFFF"/>
              <w:spacing w:after="0" w:line="240" w:lineRule="auto"/>
              <w:ind w:firstLine="720"/>
              <w:jc w:val="both"/>
              <w:rPr>
                <w:rFonts w:ascii="Times New Roman" w:eastAsia="Times New Roman" w:hAnsi="Times New Roman"/>
                <w:b/>
                <w:color w:val="000000"/>
                <w:sz w:val="24"/>
                <w:szCs w:val="24"/>
              </w:rPr>
            </w:pPr>
            <w:r w:rsidRPr="00F464D9">
              <w:rPr>
                <w:rFonts w:ascii="Times New Roman" w:eastAsia="Times New Roman" w:hAnsi="Times New Roman"/>
                <w:b/>
                <w:i/>
                <w:iCs/>
                <w:color w:val="000000"/>
                <w:sz w:val="24"/>
                <w:szCs w:val="24"/>
              </w:rPr>
              <w:t>VGN = IRR (-LV0; PS1; PS2;.... PS7 + LV7)</w:t>
            </w:r>
          </w:p>
          <w:p w14:paraId="38AF6D9D" w14:textId="77777777" w:rsidR="00AE6E2B" w:rsidRPr="00F464D9" w:rsidRDefault="00AE6E2B" w:rsidP="00AE6E2B">
            <w:pPr>
              <w:shd w:val="clear" w:color="auto" w:fill="FFFFFF"/>
              <w:spacing w:after="0" w:line="240" w:lineRule="auto"/>
              <w:ind w:firstLine="720"/>
              <w:jc w:val="both"/>
              <w:rPr>
                <w:rFonts w:ascii="Times New Roman" w:eastAsia="Times New Roman" w:hAnsi="Times New Roman"/>
                <w:color w:val="000000"/>
                <w:sz w:val="24"/>
                <w:szCs w:val="24"/>
              </w:rPr>
            </w:pPr>
            <w:r w:rsidRPr="00F464D9">
              <w:rPr>
                <w:rFonts w:ascii="Times New Roman" w:eastAsia="Times New Roman" w:hAnsi="Times New Roman"/>
                <w:color w:val="000000"/>
                <w:sz w:val="24"/>
                <w:szCs w:val="24"/>
              </w:rPr>
              <w:t xml:space="preserve">čia: LV0 – ūkio subjekto investuoto kapitalo vertė ataskaitinių metų pabaigoje (ilgalaikis turtas (išskyrus finansinį turtą) + atsargos + biologinis turtas + gautinos prekybos skolos – skolos tiekėjams ir gauti išankstiniai </w:t>
            </w:r>
            <w:r>
              <w:rPr>
                <w:rFonts w:ascii="Times New Roman" w:eastAsia="Times New Roman" w:hAnsi="Times New Roman"/>
                <w:color w:val="000000"/>
                <w:sz w:val="24"/>
                <w:szCs w:val="24"/>
              </w:rPr>
              <w:t xml:space="preserve">sąskaitų </w:t>
            </w:r>
            <w:r w:rsidRPr="00F464D9">
              <w:rPr>
                <w:rFonts w:ascii="Times New Roman" w:eastAsia="Times New Roman" w:hAnsi="Times New Roman"/>
                <w:color w:val="000000"/>
                <w:sz w:val="24"/>
                <w:szCs w:val="24"/>
              </w:rPr>
              <w:t>mokėjimai). Naujai įsteigto ūkio subjekto investuoto kapitalo vertė (LV0) skaičiuojama iš ataskaitinių metų finansinės atskaitomybės arba iš pradžios balanso, jeigu nėra ataskaitinių metų finansinės atskaitomybės;</w:t>
            </w:r>
          </w:p>
          <w:p w14:paraId="3D0CF754" w14:textId="77777777" w:rsidR="00AE6E2B" w:rsidRPr="00F464D9" w:rsidRDefault="00AE6E2B" w:rsidP="00AE6E2B">
            <w:pPr>
              <w:shd w:val="clear" w:color="auto" w:fill="FFFFFF"/>
              <w:spacing w:after="0" w:line="240" w:lineRule="auto"/>
              <w:ind w:firstLine="720"/>
              <w:jc w:val="both"/>
              <w:rPr>
                <w:rFonts w:ascii="Times New Roman" w:eastAsia="Times New Roman" w:hAnsi="Times New Roman"/>
                <w:color w:val="000000"/>
                <w:sz w:val="24"/>
                <w:szCs w:val="24"/>
              </w:rPr>
            </w:pPr>
            <w:r w:rsidRPr="00F464D9">
              <w:rPr>
                <w:rFonts w:ascii="Times New Roman" w:eastAsia="Times New Roman" w:hAnsi="Times New Roman"/>
                <w:i/>
                <w:iCs/>
                <w:color w:val="000000"/>
                <w:sz w:val="24"/>
                <w:szCs w:val="24"/>
              </w:rPr>
              <w:t>PS1; PS2;.... PS7</w:t>
            </w:r>
            <w:r w:rsidRPr="00F464D9">
              <w:rPr>
                <w:rFonts w:ascii="Times New Roman" w:eastAsia="Times New Roman" w:hAnsi="Times New Roman"/>
                <w:color w:val="000000"/>
                <w:sz w:val="24"/>
                <w:szCs w:val="24"/>
              </w:rPr>
              <w:t> – ūkio subjekto planuojamų metų pagrindinės veiklos pinigų srautų ir investicinės veiklos pinigų srautų suma eurais;</w:t>
            </w:r>
          </w:p>
          <w:p w14:paraId="35791C72" w14:textId="77777777" w:rsidR="00AE6E2B" w:rsidRPr="00F464D9" w:rsidRDefault="00AE6E2B" w:rsidP="00AE6E2B">
            <w:pPr>
              <w:shd w:val="clear" w:color="auto" w:fill="FFFFFF"/>
              <w:spacing w:after="0" w:line="240" w:lineRule="auto"/>
              <w:ind w:firstLine="720"/>
              <w:jc w:val="both"/>
              <w:rPr>
                <w:rFonts w:ascii="Times New Roman" w:eastAsia="Times New Roman" w:hAnsi="Times New Roman"/>
                <w:color w:val="000000"/>
                <w:sz w:val="24"/>
                <w:szCs w:val="24"/>
              </w:rPr>
            </w:pPr>
            <w:r w:rsidRPr="00F464D9">
              <w:rPr>
                <w:rFonts w:ascii="Times New Roman" w:eastAsia="Times New Roman" w:hAnsi="Times New Roman"/>
                <w:i/>
                <w:iCs/>
                <w:color w:val="000000"/>
                <w:sz w:val="24"/>
                <w:szCs w:val="24"/>
              </w:rPr>
              <w:t>LV7</w:t>
            </w:r>
            <w:r w:rsidRPr="00F464D9">
              <w:rPr>
                <w:rFonts w:ascii="Times New Roman" w:eastAsia="Times New Roman" w:hAnsi="Times New Roman"/>
                <w:color w:val="000000"/>
                <w:sz w:val="24"/>
                <w:szCs w:val="24"/>
              </w:rPr>
              <w:t xml:space="preserve"> – ūkio subjekto investuoto kapitalo vertė eurais septintaisiais planuojamais metais (skaičiuojama analogiškai kaip LV0, iš prognozuojamųjų metų balanso). </w:t>
            </w:r>
          </w:p>
          <w:tbl>
            <w:tblPr>
              <w:tblStyle w:val="Lentelstinklelis"/>
              <w:tblW w:w="0" w:type="auto"/>
              <w:tblLayout w:type="fixed"/>
              <w:tblLook w:val="04A0" w:firstRow="1" w:lastRow="0" w:firstColumn="1" w:lastColumn="0" w:noHBand="0" w:noVBand="1"/>
            </w:tblPr>
            <w:tblGrid>
              <w:gridCol w:w="1256"/>
              <w:gridCol w:w="2038"/>
              <w:gridCol w:w="992"/>
              <w:gridCol w:w="1091"/>
              <w:gridCol w:w="963"/>
              <w:gridCol w:w="912"/>
              <w:gridCol w:w="912"/>
              <w:gridCol w:w="943"/>
              <w:gridCol w:w="876"/>
            </w:tblGrid>
            <w:tr w:rsidR="00AE6E2B" w:rsidRPr="00F464D9" w14:paraId="028AFD91" w14:textId="77777777" w:rsidTr="00662018">
              <w:trPr>
                <w:gridAfter w:val="4"/>
                <w:wAfter w:w="3643" w:type="dxa"/>
              </w:trPr>
              <w:tc>
                <w:tcPr>
                  <w:tcW w:w="4286" w:type="dxa"/>
                  <w:gridSpan w:val="3"/>
                </w:tcPr>
                <w:p w14:paraId="02450D78"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p>
              </w:tc>
              <w:tc>
                <w:tcPr>
                  <w:tcW w:w="1091" w:type="dxa"/>
                </w:tcPr>
                <w:p w14:paraId="2E227615"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2016</w:t>
                  </w:r>
                </w:p>
              </w:tc>
              <w:tc>
                <w:tcPr>
                  <w:tcW w:w="963" w:type="dxa"/>
                </w:tcPr>
                <w:p w14:paraId="7B18D407"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2023</w:t>
                  </w:r>
                </w:p>
              </w:tc>
            </w:tr>
            <w:tr w:rsidR="00AE6E2B" w:rsidRPr="00F464D9" w14:paraId="6CE13DAA" w14:textId="77777777" w:rsidTr="00662018">
              <w:trPr>
                <w:gridAfter w:val="4"/>
                <w:wAfter w:w="3643" w:type="dxa"/>
              </w:trPr>
              <w:tc>
                <w:tcPr>
                  <w:tcW w:w="4286" w:type="dxa"/>
                  <w:gridSpan w:val="3"/>
                </w:tcPr>
                <w:p w14:paraId="292E623E"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Ilgalaikis turtas (be finansinio)</w:t>
                  </w:r>
                </w:p>
              </w:tc>
              <w:tc>
                <w:tcPr>
                  <w:tcW w:w="1091" w:type="dxa"/>
                </w:tcPr>
                <w:p w14:paraId="737BB1B3"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0</w:t>
                  </w:r>
                </w:p>
              </w:tc>
              <w:tc>
                <w:tcPr>
                  <w:tcW w:w="963" w:type="dxa"/>
                </w:tcPr>
                <w:p w14:paraId="6B5D1450"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612982</w:t>
                  </w:r>
                </w:p>
              </w:tc>
            </w:tr>
            <w:tr w:rsidR="00AE6E2B" w:rsidRPr="00F464D9" w14:paraId="03674BC0" w14:textId="77777777" w:rsidTr="00662018">
              <w:trPr>
                <w:gridAfter w:val="4"/>
                <w:wAfter w:w="3643" w:type="dxa"/>
              </w:trPr>
              <w:tc>
                <w:tcPr>
                  <w:tcW w:w="4286" w:type="dxa"/>
                  <w:gridSpan w:val="3"/>
                  <w:vAlign w:val="center"/>
                </w:tcPr>
                <w:p w14:paraId="1807A5A9"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Atsargos</w:t>
                  </w:r>
                </w:p>
              </w:tc>
              <w:tc>
                <w:tcPr>
                  <w:tcW w:w="1091" w:type="dxa"/>
                </w:tcPr>
                <w:p w14:paraId="786B0475"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0</w:t>
                  </w:r>
                </w:p>
              </w:tc>
              <w:tc>
                <w:tcPr>
                  <w:tcW w:w="963" w:type="dxa"/>
                </w:tcPr>
                <w:p w14:paraId="3C96E1F5"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0</w:t>
                  </w:r>
                </w:p>
              </w:tc>
            </w:tr>
            <w:tr w:rsidR="00AE6E2B" w:rsidRPr="00F464D9" w14:paraId="256535B7" w14:textId="77777777" w:rsidTr="00662018">
              <w:trPr>
                <w:gridAfter w:val="4"/>
                <w:wAfter w:w="3643" w:type="dxa"/>
              </w:trPr>
              <w:tc>
                <w:tcPr>
                  <w:tcW w:w="4286" w:type="dxa"/>
                  <w:gridSpan w:val="3"/>
                  <w:vAlign w:val="center"/>
                </w:tcPr>
                <w:p w14:paraId="2CD1ACC3"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biologinis turtas</w:t>
                  </w:r>
                </w:p>
              </w:tc>
              <w:tc>
                <w:tcPr>
                  <w:tcW w:w="1091" w:type="dxa"/>
                </w:tcPr>
                <w:p w14:paraId="02DD8E88"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0</w:t>
                  </w:r>
                </w:p>
              </w:tc>
              <w:tc>
                <w:tcPr>
                  <w:tcW w:w="963" w:type="dxa"/>
                </w:tcPr>
                <w:p w14:paraId="08B1BB25"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0</w:t>
                  </w:r>
                </w:p>
              </w:tc>
            </w:tr>
            <w:tr w:rsidR="00AE6E2B" w:rsidRPr="00F464D9" w14:paraId="7B84B852" w14:textId="77777777" w:rsidTr="00662018">
              <w:trPr>
                <w:gridAfter w:val="4"/>
                <w:wAfter w:w="3643" w:type="dxa"/>
              </w:trPr>
              <w:tc>
                <w:tcPr>
                  <w:tcW w:w="4286" w:type="dxa"/>
                  <w:gridSpan w:val="3"/>
                  <w:vAlign w:val="center"/>
                </w:tcPr>
                <w:p w14:paraId="36CA6B96"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Gautos  pirkėjų skolos</w:t>
                  </w:r>
                </w:p>
              </w:tc>
              <w:tc>
                <w:tcPr>
                  <w:tcW w:w="1091" w:type="dxa"/>
                </w:tcPr>
                <w:p w14:paraId="0E8E3A57"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0</w:t>
                  </w:r>
                </w:p>
              </w:tc>
              <w:tc>
                <w:tcPr>
                  <w:tcW w:w="963" w:type="dxa"/>
                </w:tcPr>
                <w:p w14:paraId="0160D980"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0</w:t>
                  </w:r>
                </w:p>
              </w:tc>
            </w:tr>
            <w:tr w:rsidR="00AE6E2B" w:rsidRPr="00F464D9" w14:paraId="77371E9A" w14:textId="77777777" w:rsidTr="00662018">
              <w:trPr>
                <w:gridAfter w:val="4"/>
                <w:wAfter w:w="3643" w:type="dxa"/>
              </w:trPr>
              <w:tc>
                <w:tcPr>
                  <w:tcW w:w="4286" w:type="dxa"/>
                  <w:gridSpan w:val="3"/>
                  <w:vAlign w:val="center"/>
                </w:tcPr>
                <w:p w14:paraId="2DA0242B"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skolos tiekėjams</w:t>
                  </w:r>
                </w:p>
              </w:tc>
              <w:tc>
                <w:tcPr>
                  <w:tcW w:w="1091" w:type="dxa"/>
                </w:tcPr>
                <w:p w14:paraId="739846BB"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0</w:t>
                  </w:r>
                </w:p>
              </w:tc>
              <w:tc>
                <w:tcPr>
                  <w:tcW w:w="963" w:type="dxa"/>
                </w:tcPr>
                <w:p w14:paraId="33DE6E38"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0</w:t>
                  </w:r>
                </w:p>
              </w:tc>
            </w:tr>
            <w:tr w:rsidR="00AE6E2B" w:rsidRPr="00F464D9" w14:paraId="175F5BBB" w14:textId="77777777" w:rsidTr="00662018">
              <w:trPr>
                <w:gridAfter w:val="4"/>
                <w:wAfter w:w="3643" w:type="dxa"/>
              </w:trPr>
              <w:tc>
                <w:tcPr>
                  <w:tcW w:w="4286" w:type="dxa"/>
                  <w:gridSpan w:val="3"/>
                  <w:vAlign w:val="center"/>
                </w:tcPr>
                <w:p w14:paraId="189DE5FF"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Gauti išankstiniai mokėjimai</w:t>
                  </w:r>
                </w:p>
              </w:tc>
              <w:tc>
                <w:tcPr>
                  <w:tcW w:w="1091" w:type="dxa"/>
                </w:tcPr>
                <w:p w14:paraId="7C8D1869"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0</w:t>
                  </w:r>
                </w:p>
              </w:tc>
              <w:tc>
                <w:tcPr>
                  <w:tcW w:w="963" w:type="dxa"/>
                </w:tcPr>
                <w:p w14:paraId="4BEE7DDD"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0</w:t>
                  </w:r>
                </w:p>
              </w:tc>
            </w:tr>
            <w:tr w:rsidR="00AE6E2B" w:rsidRPr="00F464D9" w14:paraId="6C09E741" w14:textId="77777777" w:rsidTr="00662018">
              <w:trPr>
                <w:gridAfter w:val="4"/>
                <w:wAfter w:w="3643" w:type="dxa"/>
              </w:trPr>
              <w:tc>
                <w:tcPr>
                  <w:tcW w:w="4286" w:type="dxa"/>
                  <w:gridSpan w:val="3"/>
                  <w:vAlign w:val="bottom"/>
                </w:tcPr>
                <w:p w14:paraId="404EE39C"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 LV</w:t>
                  </w:r>
                </w:p>
              </w:tc>
              <w:tc>
                <w:tcPr>
                  <w:tcW w:w="1091" w:type="dxa"/>
                </w:tcPr>
                <w:p w14:paraId="2D7EA6DF"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0</w:t>
                  </w:r>
                </w:p>
              </w:tc>
              <w:tc>
                <w:tcPr>
                  <w:tcW w:w="963" w:type="dxa"/>
                </w:tcPr>
                <w:p w14:paraId="6ED492A0"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612982</w:t>
                  </w:r>
                </w:p>
              </w:tc>
            </w:tr>
            <w:tr w:rsidR="00AE6E2B" w:rsidRPr="00F464D9" w14:paraId="1F23790E" w14:textId="77777777" w:rsidTr="00662018">
              <w:tc>
                <w:tcPr>
                  <w:tcW w:w="1256" w:type="dxa"/>
                </w:tcPr>
                <w:p w14:paraId="52F98E71"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p>
              </w:tc>
              <w:tc>
                <w:tcPr>
                  <w:tcW w:w="2038" w:type="dxa"/>
                </w:tcPr>
                <w:p w14:paraId="4ADA5932"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p>
              </w:tc>
              <w:tc>
                <w:tcPr>
                  <w:tcW w:w="992" w:type="dxa"/>
                </w:tcPr>
                <w:p w14:paraId="359CAC54"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7820">
                    <w:rPr>
                      <w:rFonts w:ascii="Times New Roman" w:eastAsia="Times New Roman" w:hAnsi="Times New Roman"/>
                      <w:sz w:val="24"/>
                      <w:szCs w:val="24"/>
                      <w:u w:val="single"/>
                    </w:rPr>
                    <w:t>2017</w:t>
                  </w:r>
                </w:p>
              </w:tc>
              <w:tc>
                <w:tcPr>
                  <w:tcW w:w="1091" w:type="dxa"/>
                </w:tcPr>
                <w:p w14:paraId="568BF233"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2018</w:t>
                  </w:r>
                </w:p>
              </w:tc>
              <w:tc>
                <w:tcPr>
                  <w:tcW w:w="963" w:type="dxa"/>
                </w:tcPr>
                <w:p w14:paraId="51D766A4"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2019</w:t>
                  </w:r>
                </w:p>
              </w:tc>
              <w:tc>
                <w:tcPr>
                  <w:tcW w:w="912" w:type="dxa"/>
                </w:tcPr>
                <w:p w14:paraId="4F8992CB"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2020</w:t>
                  </w:r>
                </w:p>
              </w:tc>
              <w:tc>
                <w:tcPr>
                  <w:tcW w:w="912" w:type="dxa"/>
                </w:tcPr>
                <w:p w14:paraId="6BD16131"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2021</w:t>
                  </w:r>
                </w:p>
              </w:tc>
              <w:tc>
                <w:tcPr>
                  <w:tcW w:w="943" w:type="dxa"/>
                </w:tcPr>
                <w:p w14:paraId="5A8A80C5"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2022</w:t>
                  </w:r>
                </w:p>
              </w:tc>
              <w:tc>
                <w:tcPr>
                  <w:tcW w:w="876" w:type="dxa"/>
                </w:tcPr>
                <w:p w14:paraId="0E7AFC08"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2023</w:t>
                  </w:r>
                </w:p>
              </w:tc>
            </w:tr>
            <w:tr w:rsidR="00AE6E2B" w:rsidRPr="00F464D9" w14:paraId="60CA2C94" w14:textId="77777777" w:rsidTr="00662018">
              <w:tc>
                <w:tcPr>
                  <w:tcW w:w="1256" w:type="dxa"/>
                </w:tcPr>
                <w:p w14:paraId="2EE7BFC4"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p>
              </w:tc>
              <w:tc>
                <w:tcPr>
                  <w:tcW w:w="2038" w:type="dxa"/>
                </w:tcPr>
                <w:p w14:paraId="0BB48617"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Pagrindinės veiklos pinigų srautai</w:t>
                  </w:r>
                </w:p>
              </w:tc>
              <w:tc>
                <w:tcPr>
                  <w:tcW w:w="992" w:type="dxa"/>
                </w:tcPr>
                <w:p w14:paraId="2788E990"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27630</w:t>
                  </w:r>
                </w:p>
              </w:tc>
              <w:tc>
                <w:tcPr>
                  <w:tcW w:w="1091" w:type="dxa"/>
                </w:tcPr>
                <w:p w14:paraId="4A74FE8C"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-33876</w:t>
                  </w:r>
                </w:p>
              </w:tc>
              <w:tc>
                <w:tcPr>
                  <w:tcW w:w="963" w:type="dxa"/>
                </w:tcPr>
                <w:p w14:paraId="05561469"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10757</w:t>
                  </w:r>
                </w:p>
              </w:tc>
              <w:tc>
                <w:tcPr>
                  <w:tcW w:w="912" w:type="dxa"/>
                </w:tcPr>
                <w:p w14:paraId="5259A190"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82370</w:t>
                  </w:r>
                </w:p>
              </w:tc>
              <w:tc>
                <w:tcPr>
                  <w:tcW w:w="912" w:type="dxa"/>
                </w:tcPr>
                <w:p w14:paraId="5397EB9A"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90287</w:t>
                  </w:r>
                </w:p>
              </w:tc>
              <w:tc>
                <w:tcPr>
                  <w:tcW w:w="943" w:type="dxa"/>
                </w:tcPr>
                <w:p w14:paraId="06364811"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98718</w:t>
                  </w:r>
                </w:p>
              </w:tc>
              <w:tc>
                <w:tcPr>
                  <w:tcW w:w="876" w:type="dxa"/>
                </w:tcPr>
                <w:p w14:paraId="6B7774D6"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107818</w:t>
                  </w:r>
                </w:p>
              </w:tc>
            </w:tr>
            <w:tr w:rsidR="00AE6E2B" w:rsidRPr="00F464D9" w14:paraId="2A1D4447" w14:textId="77777777" w:rsidTr="00662018">
              <w:tc>
                <w:tcPr>
                  <w:tcW w:w="1256" w:type="dxa"/>
                </w:tcPr>
                <w:p w14:paraId="471D06E7"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p>
              </w:tc>
              <w:tc>
                <w:tcPr>
                  <w:tcW w:w="2038" w:type="dxa"/>
                </w:tcPr>
                <w:p w14:paraId="3F9E9D4A"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Investicinės veiklos pinigų srautai</w:t>
                  </w:r>
                </w:p>
              </w:tc>
              <w:tc>
                <w:tcPr>
                  <w:tcW w:w="992" w:type="dxa"/>
                </w:tcPr>
                <w:p w14:paraId="430503C3"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28900</w:t>
                  </w:r>
                </w:p>
              </w:tc>
              <w:tc>
                <w:tcPr>
                  <w:tcW w:w="1091" w:type="dxa"/>
                </w:tcPr>
                <w:p w14:paraId="326E2E8D"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352577</w:t>
                  </w:r>
                </w:p>
              </w:tc>
              <w:tc>
                <w:tcPr>
                  <w:tcW w:w="963" w:type="dxa"/>
                </w:tcPr>
                <w:p w14:paraId="47FCA17A"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638401</w:t>
                  </w:r>
                </w:p>
              </w:tc>
              <w:tc>
                <w:tcPr>
                  <w:tcW w:w="912" w:type="dxa"/>
                </w:tcPr>
                <w:p w14:paraId="41CB9F62"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p>
              </w:tc>
              <w:tc>
                <w:tcPr>
                  <w:tcW w:w="912" w:type="dxa"/>
                </w:tcPr>
                <w:p w14:paraId="3BAE592E"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p>
              </w:tc>
              <w:tc>
                <w:tcPr>
                  <w:tcW w:w="943" w:type="dxa"/>
                </w:tcPr>
                <w:p w14:paraId="2AA006BD"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p>
              </w:tc>
              <w:tc>
                <w:tcPr>
                  <w:tcW w:w="876" w:type="dxa"/>
                </w:tcPr>
                <w:p w14:paraId="582F5002"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p>
              </w:tc>
            </w:tr>
            <w:tr w:rsidR="00AE6E2B" w:rsidRPr="00F464D9" w14:paraId="703CAF2D" w14:textId="77777777" w:rsidTr="00662018">
              <w:tc>
                <w:tcPr>
                  <w:tcW w:w="1256" w:type="dxa"/>
                </w:tcPr>
                <w:p w14:paraId="3FD132AE"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p>
              </w:tc>
              <w:tc>
                <w:tcPr>
                  <w:tcW w:w="2038" w:type="dxa"/>
                </w:tcPr>
                <w:p w14:paraId="579223B6"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PS</w:t>
                  </w:r>
                </w:p>
              </w:tc>
              <w:tc>
                <w:tcPr>
                  <w:tcW w:w="992" w:type="dxa"/>
                </w:tcPr>
                <w:p w14:paraId="1C70E98A"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-1270</w:t>
                  </w:r>
                </w:p>
              </w:tc>
              <w:tc>
                <w:tcPr>
                  <w:tcW w:w="1091" w:type="dxa"/>
                </w:tcPr>
                <w:p w14:paraId="32BC269B"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-386453</w:t>
                  </w:r>
                </w:p>
              </w:tc>
              <w:tc>
                <w:tcPr>
                  <w:tcW w:w="963" w:type="dxa"/>
                </w:tcPr>
                <w:p w14:paraId="7721C91E"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-627644</w:t>
                  </w:r>
                </w:p>
              </w:tc>
              <w:tc>
                <w:tcPr>
                  <w:tcW w:w="912" w:type="dxa"/>
                </w:tcPr>
                <w:p w14:paraId="662D88AB"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82370</w:t>
                  </w:r>
                </w:p>
              </w:tc>
              <w:tc>
                <w:tcPr>
                  <w:tcW w:w="912" w:type="dxa"/>
                </w:tcPr>
                <w:p w14:paraId="7BE1033A"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90287</w:t>
                  </w:r>
                </w:p>
              </w:tc>
              <w:tc>
                <w:tcPr>
                  <w:tcW w:w="943" w:type="dxa"/>
                </w:tcPr>
                <w:p w14:paraId="0245B29F"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98718</w:t>
                  </w:r>
                </w:p>
              </w:tc>
              <w:tc>
                <w:tcPr>
                  <w:tcW w:w="876" w:type="dxa"/>
                </w:tcPr>
                <w:p w14:paraId="46E23CA0"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107818</w:t>
                  </w:r>
                </w:p>
              </w:tc>
            </w:tr>
            <w:tr w:rsidR="00AE6E2B" w:rsidRPr="00F464D9" w14:paraId="13510637" w14:textId="77777777" w:rsidTr="00662018">
              <w:tc>
                <w:tcPr>
                  <w:tcW w:w="1256" w:type="dxa"/>
                </w:tcPr>
                <w:p w14:paraId="63193526" w14:textId="77777777" w:rsidR="00AE6E2B" w:rsidRPr="00F47820" w:rsidRDefault="00AE6E2B" w:rsidP="00AE6E2B">
                  <w:pPr>
                    <w:spacing w:after="0" w:line="240" w:lineRule="auto"/>
                    <w:jc w:val="both"/>
                    <w:rPr>
                      <w:rFonts w:ascii="Times New Roman" w:eastAsia="Times New Roman" w:hAnsi="Times New Roman"/>
                      <w:sz w:val="24"/>
                      <w:szCs w:val="24"/>
                      <w:u w:val="single"/>
                    </w:rPr>
                  </w:pPr>
                  <w:r w:rsidRPr="00F47820">
                    <w:rPr>
                      <w:rFonts w:ascii="Times New Roman" w:eastAsia="Times New Roman" w:hAnsi="Times New Roman"/>
                      <w:sz w:val="24"/>
                      <w:szCs w:val="24"/>
                      <w:u w:val="single"/>
                    </w:rPr>
                    <w:t>PS1......PS7</w:t>
                  </w:r>
                </w:p>
              </w:tc>
              <w:tc>
                <w:tcPr>
                  <w:tcW w:w="2038" w:type="dxa"/>
                </w:tcPr>
                <w:p w14:paraId="5918F0E8"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-1270</w:t>
                  </w:r>
                </w:p>
              </w:tc>
              <w:tc>
                <w:tcPr>
                  <w:tcW w:w="992" w:type="dxa"/>
                </w:tcPr>
                <w:p w14:paraId="2CDEE905"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-386453</w:t>
                  </w:r>
                </w:p>
              </w:tc>
              <w:tc>
                <w:tcPr>
                  <w:tcW w:w="1091" w:type="dxa"/>
                </w:tcPr>
                <w:p w14:paraId="7E9E3E81"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-627644</w:t>
                  </w:r>
                </w:p>
              </w:tc>
              <w:tc>
                <w:tcPr>
                  <w:tcW w:w="963" w:type="dxa"/>
                </w:tcPr>
                <w:p w14:paraId="17D0C4F7"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82370</w:t>
                  </w:r>
                </w:p>
              </w:tc>
              <w:tc>
                <w:tcPr>
                  <w:tcW w:w="912" w:type="dxa"/>
                </w:tcPr>
                <w:p w14:paraId="3F20F300"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90287</w:t>
                  </w:r>
                </w:p>
              </w:tc>
              <w:tc>
                <w:tcPr>
                  <w:tcW w:w="912" w:type="dxa"/>
                </w:tcPr>
                <w:p w14:paraId="6E171479"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98718</w:t>
                  </w:r>
                </w:p>
              </w:tc>
              <w:tc>
                <w:tcPr>
                  <w:tcW w:w="943" w:type="dxa"/>
                </w:tcPr>
                <w:p w14:paraId="06795F1F"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color w:val="000000"/>
                      <w:sz w:val="24"/>
                      <w:szCs w:val="24"/>
                      <w:lang w:eastAsia="lt-LT"/>
                    </w:rPr>
                    <w:t>720800</w:t>
                  </w:r>
                </w:p>
              </w:tc>
              <w:tc>
                <w:tcPr>
                  <w:tcW w:w="876" w:type="dxa"/>
                </w:tcPr>
                <w:p w14:paraId="7942D0CB"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p>
              </w:tc>
            </w:tr>
            <w:tr w:rsidR="00AE6E2B" w:rsidRPr="00F464D9" w14:paraId="6FC4EC6B" w14:textId="77777777" w:rsidTr="00662018">
              <w:tc>
                <w:tcPr>
                  <w:tcW w:w="1256" w:type="dxa"/>
                </w:tcPr>
                <w:p w14:paraId="2668393C" w14:textId="77777777" w:rsidR="00AE6E2B" w:rsidRPr="00F47820" w:rsidRDefault="00AE6E2B" w:rsidP="00AE6E2B">
                  <w:pPr>
                    <w:spacing w:after="0" w:line="240" w:lineRule="auto"/>
                    <w:jc w:val="both"/>
                    <w:rPr>
                      <w:rFonts w:ascii="Times New Roman" w:eastAsia="Times New Roman" w:hAnsi="Times New Roman"/>
                      <w:b/>
                      <w:sz w:val="24"/>
                      <w:szCs w:val="24"/>
                      <w:u w:val="single"/>
                    </w:rPr>
                  </w:pPr>
                  <w:r w:rsidRPr="00F47820">
                    <w:rPr>
                      <w:rFonts w:ascii="Times New Roman" w:eastAsia="Times New Roman" w:hAnsi="Times New Roman"/>
                      <w:b/>
                      <w:sz w:val="24"/>
                      <w:szCs w:val="24"/>
                      <w:u w:val="single"/>
                    </w:rPr>
                    <w:t>VGN</w:t>
                  </w:r>
                </w:p>
              </w:tc>
              <w:tc>
                <w:tcPr>
                  <w:tcW w:w="2038" w:type="dxa"/>
                </w:tcPr>
                <w:p w14:paraId="076870B1"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r w:rsidRPr="00F464D9">
                    <w:rPr>
                      <w:rFonts w:ascii="Times New Roman" w:eastAsia="Times New Roman" w:hAnsi="Times New Roman"/>
                      <w:b/>
                      <w:bCs/>
                      <w:color w:val="000000"/>
                      <w:sz w:val="24"/>
                      <w:szCs w:val="24"/>
                      <w:lang w:eastAsia="lt-LT"/>
                    </w:rPr>
                    <w:t>-0,60%</w:t>
                  </w:r>
                </w:p>
              </w:tc>
              <w:tc>
                <w:tcPr>
                  <w:tcW w:w="992" w:type="dxa"/>
                </w:tcPr>
                <w:p w14:paraId="4CB7EB20"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p>
              </w:tc>
              <w:tc>
                <w:tcPr>
                  <w:tcW w:w="1091" w:type="dxa"/>
                </w:tcPr>
                <w:p w14:paraId="46C406A3"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p>
              </w:tc>
              <w:tc>
                <w:tcPr>
                  <w:tcW w:w="963" w:type="dxa"/>
                </w:tcPr>
                <w:p w14:paraId="693F7726"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p>
              </w:tc>
              <w:tc>
                <w:tcPr>
                  <w:tcW w:w="912" w:type="dxa"/>
                </w:tcPr>
                <w:p w14:paraId="42CAE823"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p>
              </w:tc>
              <w:tc>
                <w:tcPr>
                  <w:tcW w:w="912" w:type="dxa"/>
                </w:tcPr>
                <w:p w14:paraId="7D385FCD"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p>
              </w:tc>
              <w:tc>
                <w:tcPr>
                  <w:tcW w:w="943" w:type="dxa"/>
                </w:tcPr>
                <w:p w14:paraId="76C03A8C"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p>
              </w:tc>
              <w:tc>
                <w:tcPr>
                  <w:tcW w:w="876" w:type="dxa"/>
                </w:tcPr>
                <w:p w14:paraId="47930F76" w14:textId="77777777" w:rsidR="00AE6E2B" w:rsidRPr="00F47820" w:rsidRDefault="00AE6E2B" w:rsidP="00AE6E2B">
                  <w:pPr>
                    <w:spacing w:after="0" w:line="240" w:lineRule="auto"/>
                    <w:jc w:val="both"/>
                    <w:rPr>
                      <w:rFonts w:ascii="Times New Roman" w:eastAsia="Times New Roman" w:hAnsi="Times New Roman"/>
                      <w:color w:val="0000FF"/>
                      <w:sz w:val="24"/>
                      <w:szCs w:val="24"/>
                      <w:u w:val="single"/>
                    </w:rPr>
                  </w:pPr>
                </w:p>
              </w:tc>
            </w:tr>
          </w:tbl>
          <w:p w14:paraId="70AEBACE" w14:textId="77777777" w:rsidR="00AE6E2B" w:rsidRPr="00E573C5" w:rsidRDefault="00AE6E2B" w:rsidP="00AE6E2B">
            <w:pPr>
              <w:spacing w:after="0" w:line="259" w:lineRule="auto"/>
              <w:jc w:val="both"/>
              <w:rPr>
                <w:rFonts w:ascii="Times New Roman" w:hAnsi="Times New Roman"/>
                <w:sz w:val="24"/>
                <w:szCs w:val="24"/>
              </w:rPr>
            </w:pPr>
            <w:r w:rsidRPr="00F47820">
              <w:rPr>
                <w:rFonts w:ascii="Times New Roman" w:hAnsi="Times New Roman"/>
                <w:sz w:val="24"/>
                <w:szCs w:val="24"/>
              </w:rPr>
              <w:t xml:space="preserve">             </w:t>
            </w:r>
            <w:r w:rsidRPr="00E573C5">
              <w:rPr>
                <w:rFonts w:ascii="Times New Roman" w:hAnsi="Times New Roman"/>
                <w:sz w:val="24"/>
                <w:szCs w:val="24"/>
              </w:rPr>
              <w:t>Vidinės grąžos normos reikšmė neigiama -0,60 proc.</w:t>
            </w:r>
          </w:p>
          <w:p w14:paraId="7A416D70" w14:textId="77777777" w:rsidR="00AE6E2B" w:rsidRPr="00E573C5" w:rsidRDefault="00AE6E2B" w:rsidP="00AE6E2B">
            <w:pPr>
              <w:spacing w:after="0" w:line="259" w:lineRule="auto"/>
              <w:jc w:val="both"/>
              <w:rPr>
                <w:rFonts w:ascii="Times New Roman" w:hAnsi="Times New Roman"/>
                <w:color w:val="0000FF"/>
                <w:sz w:val="24"/>
                <w:szCs w:val="24"/>
              </w:rPr>
            </w:pPr>
            <w:r w:rsidRPr="00F47820">
              <w:rPr>
                <w:rFonts w:ascii="Times New Roman" w:hAnsi="Times New Roman"/>
                <w:sz w:val="24"/>
                <w:szCs w:val="24"/>
              </w:rPr>
              <w:t xml:space="preserve">             </w:t>
            </w:r>
            <w:r w:rsidRPr="00E573C5">
              <w:rPr>
                <w:rFonts w:ascii="Times New Roman" w:hAnsi="Times New Roman"/>
                <w:sz w:val="24"/>
                <w:szCs w:val="24"/>
              </w:rPr>
              <w:t>Apskaičiuoti ekonominio gyvybingumo rodikliai neatitinka Ekonominio gyvybingumo nustatymo taisyklių 8.4</w:t>
            </w:r>
            <w:r>
              <w:rPr>
                <w:rFonts w:ascii="Times New Roman" w:hAnsi="Times New Roman"/>
                <w:sz w:val="24"/>
                <w:szCs w:val="24"/>
              </w:rPr>
              <w:t>,</w:t>
            </w:r>
            <w:r w:rsidRPr="00E573C5">
              <w:rPr>
                <w:rFonts w:ascii="Times New Roman" w:hAnsi="Times New Roman"/>
                <w:sz w:val="24"/>
                <w:szCs w:val="24"/>
              </w:rPr>
              <w:t xml:space="preserve"> 8.5 papunkčiuose ir 10 punkte nustatytų reikšmių (paskolų padengimo rodiklis </w:t>
            </w:r>
            <w:r w:rsidRPr="003C5D02">
              <w:rPr>
                <w:rFonts w:ascii="Times New Roman" w:hAnsi="Times New Roman"/>
                <w:color w:val="000000"/>
                <w:sz w:val="24"/>
                <w:szCs w:val="24"/>
              </w:rPr>
              <w:t>≥ 1,25;</w:t>
            </w:r>
            <w:r w:rsidRPr="003D3F4F">
              <w:rPr>
                <w:rFonts w:ascii="Times New Roman" w:hAnsi="Times New Roman"/>
                <w:color w:val="000000"/>
                <w:sz w:val="24"/>
                <w:szCs w:val="24"/>
              </w:rPr>
              <w:t xml:space="preserve"> vidinė grąžos norma ≥ 4,4)</w:t>
            </w:r>
            <w:r w:rsidRPr="00E573C5">
              <w:rPr>
                <w:rFonts w:ascii="Times New Roman" w:hAnsi="Times New Roman"/>
                <w:color w:val="0000FF"/>
                <w:sz w:val="24"/>
                <w:szCs w:val="24"/>
              </w:rPr>
              <w:t>.</w:t>
            </w:r>
          </w:p>
          <w:p w14:paraId="3B106496" w14:textId="77777777" w:rsidR="00AE6E2B" w:rsidRPr="00F464D9" w:rsidRDefault="00AE6E2B" w:rsidP="00AE6E2B">
            <w:pPr>
              <w:spacing w:after="0" w:line="259" w:lineRule="auto"/>
              <w:jc w:val="both"/>
              <w:rPr>
                <w:rFonts w:ascii="Times New Roman" w:hAnsi="Times New Roman"/>
                <w:color w:val="000000"/>
                <w:sz w:val="24"/>
                <w:szCs w:val="24"/>
              </w:rPr>
            </w:pPr>
            <w:r w:rsidRPr="00F47820">
              <w:rPr>
                <w:rFonts w:ascii="Times New Roman" w:hAnsi="Times New Roman"/>
                <w:sz w:val="24"/>
                <w:szCs w:val="24"/>
              </w:rPr>
              <w:t xml:space="preserve">             </w:t>
            </w:r>
            <w:r w:rsidRPr="00E573C5">
              <w:rPr>
                <w:rFonts w:ascii="Times New Roman" w:hAnsi="Times New Roman"/>
                <w:color w:val="000000"/>
                <w:sz w:val="24"/>
                <w:szCs w:val="24"/>
              </w:rPr>
              <w:t>Ekonominio gyvybingumo nustatymo taisyklių 15.2.2 papunktyje nustatyta</w:t>
            </w:r>
            <w:r w:rsidRPr="00F464D9">
              <w:rPr>
                <w:rFonts w:ascii="Times New Roman" w:hAnsi="Times New Roman"/>
                <w:color w:val="000000"/>
                <w:sz w:val="24"/>
                <w:szCs w:val="24"/>
              </w:rPr>
              <w:t xml:space="preserve">, kad ūkio subjektai laikomi netinkamais finansinei paramai gauti, kaip neatitinkantys ekonominio gyvybingumo (tinkamumo) kriterijaus, jei po gauto atsakymo į </w:t>
            </w:r>
            <w:r>
              <w:rPr>
                <w:rFonts w:ascii="Times New Roman" w:hAnsi="Times New Roman"/>
                <w:color w:val="000000"/>
                <w:sz w:val="24"/>
                <w:szCs w:val="24"/>
              </w:rPr>
              <w:t>A</w:t>
            </w:r>
            <w:r w:rsidRPr="00F464D9">
              <w:rPr>
                <w:rFonts w:ascii="Times New Roman" w:hAnsi="Times New Roman"/>
                <w:color w:val="000000"/>
                <w:sz w:val="24"/>
                <w:szCs w:val="24"/>
              </w:rPr>
              <w:t>gentūros paklausimą ūkio subjekto verslo plane pateiktos finansinių prognozių sudarymo prielaidos planuojamuoju laikotarpiu gerokai skiriasi nuo Lietuvos statistinių (skelbiamų Lietuvos statistikos departamento ir Žemės ūkio informacijos ir kaimo verslo centro svetainėse) arba praėjusio ir (ar) ataskaitinio laikotarpio duomenų ir nepateikti jų pagrindimo dokumentai, paaiškinimai ar skaičiavimai.</w:t>
            </w:r>
          </w:p>
          <w:p w14:paraId="7EEFB4EA" w14:textId="77777777" w:rsidR="00AE6E2B" w:rsidRPr="00F464D9" w:rsidRDefault="00AE6E2B" w:rsidP="00AE6E2B">
            <w:pPr>
              <w:spacing w:after="0" w:line="259" w:lineRule="auto"/>
              <w:jc w:val="both"/>
              <w:rPr>
                <w:rFonts w:ascii="Times New Roman" w:hAnsi="Times New Roman"/>
                <w:sz w:val="24"/>
                <w:szCs w:val="24"/>
              </w:rPr>
            </w:pPr>
            <w:r w:rsidRPr="00F47820">
              <w:rPr>
                <w:rFonts w:ascii="Times New Roman" w:hAnsi="Times New Roman"/>
                <w:sz w:val="24"/>
                <w:szCs w:val="24"/>
              </w:rPr>
              <w:t xml:space="preserve">             Pareiškėja verslo </w:t>
            </w:r>
            <w:r w:rsidRPr="00F464D9">
              <w:rPr>
                <w:rFonts w:ascii="Times New Roman" w:hAnsi="Times New Roman"/>
                <w:sz w:val="24"/>
                <w:szCs w:val="24"/>
              </w:rPr>
              <w:t>plano V skyriuje „Informacija apie produkcijos gamybą ir pardavimus“ nurodė pardavimo kainas: eršketo 8</w:t>
            </w:r>
            <w:r>
              <w:rPr>
                <w:rFonts w:ascii="Times New Roman" w:hAnsi="Times New Roman"/>
                <w:sz w:val="24"/>
                <w:szCs w:val="24"/>
              </w:rPr>
              <w:t xml:space="preserve"> </w:t>
            </w:r>
            <w:r w:rsidRPr="00F464D9">
              <w:rPr>
                <w:rFonts w:ascii="Times New Roman" w:hAnsi="Times New Roman"/>
                <w:sz w:val="24"/>
                <w:szCs w:val="24"/>
              </w:rPr>
              <w:t>000</w:t>
            </w:r>
            <w:r>
              <w:rPr>
                <w:rFonts w:ascii="Times New Roman" w:hAnsi="Times New Roman"/>
                <w:sz w:val="24"/>
                <w:szCs w:val="24"/>
              </w:rPr>
              <w:t>–</w:t>
            </w:r>
            <w:r w:rsidRPr="00F464D9">
              <w:rPr>
                <w:rFonts w:ascii="Times New Roman" w:hAnsi="Times New Roman"/>
                <w:sz w:val="24"/>
                <w:szCs w:val="24"/>
              </w:rPr>
              <w:t>8</w:t>
            </w:r>
            <w:r>
              <w:rPr>
                <w:rFonts w:ascii="Times New Roman" w:hAnsi="Times New Roman"/>
                <w:sz w:val="24"/>
                <w:szCs w:val="24"/>
              </w:rPr>
              <w:t xml:space="preserve"> </w:t>
            </w:r>
            <w:r w:rsidRPr="00F464D9">
              <w:rPr>
                <w:rFonts w:ascii="Times New Roman" w:hAnsi="Times New Roman"/>
                <w:sz w:val="24"/>
                <w:szCs w:val="24"/>
              </w:rPr>
              <w:t>500 Eur</w:t>
            </w:r>
            <w:r>
              <w:rPr>
                <w:rFonts w:ascii="Times New Roman" w:hAnsi="Times New Roman"/>
                <w:sz w:val="24"/>
                <w:szCs w:val="24"/>
              </w:rPr>
              <w:t xml:space="preserve"> už t</w:t>
            </w:r>
            <w:r w:rsidRPr="00F464D9">
              <w:rPr>
                <w:rFonts w:ascii="Times New Roman" w:hAnsi="Times New Roman"/>
                <w:sz w:val="24"/>
                <w:szCs w:val="24"/>
              </w:rPr>
              <w:t>, vėžių 8</w:t>
            </w:r>
            <w:r>
              <w:rPr>
                <w:rFonts w:ascii="Times New Roman" w:hAnsi="Times New Roman"/>
                <w:sz w:val="24"/>
                <w:szCs w:val="24"/>
              </w:rPr>
              <w:t xml:space="preserve"> </w:t>
            </w:r>
            <w:r w:rsidRPr="00F464D9">
              <w:rPr>
                <w:rFonts w:ascii="Times New Roman" w:hAnsi="Times New Roman"/>
                <w:sz w:val="24"/>
                <w:szCs w:val="24"/>
              </w:rPr>
              <w:t>000</w:t>
            </w:r>
            <w:r>
              <w:rPr>
                <w:rFonts w:ascii="Times New Roman" w:hAnsi="Times New Roman"/>
                <w:sz w:val="24"/>
                <w:szCs w:val="24"/>
              </w:rPr>
              <w:t xml:space="preserve">– </w:t>
            </w:r>
            <w:r w:rsidRPr="00F464D9">
              <w:rPr>
                <w:rFonts w:ascii="Times New Roman" w:hAnsi="Times New Roman"/>
                <w:sz w:val="24"/>
                <w:szCs w:val="24"/>
              </w:rPr>
              <w:t>8500 Eur</w:t>
            </w:r>
            <w:r>
              <w:rPr>
                <w:rFonts w:ascii="Times New Roman" w:hAnsi="Times New Roman"/>
                <w:sz w:val="24"/>
                <w:szCs w:val="24"/>
              </w:rPr>
              <w:t xml:space="preserve"> už </w:t>
            </w:r>
            <w:r w:rsidRPr="00F464D9">
              <w:rPr>
                <w:rFonts w:ascii="Times New Roman" w:hAnsi="Times New Roman"/>
                <w:sz w:val="24"/>
                <w:szCs w:val="24"/>
              </w:rPr>
              <w:t>t, upėtakio 6</w:t>
            </w:r>
            <w:r>
              <w:rPr>
                <w:rFonts w:ascii="Times New Roman" w:hAnsi="Times New Roman"/>
                <w:sz w:val="24"/>
                <w:szCs w:val="24"/>
              </w:rPr>
              <w:t xml:space="preserve"> </w:t>
            </w:r>
            <w:r w:rsidRPr="00F464D9">
              <w:rPr>
                <w:rFonts w:ascii="Times New Roman" w:hAnsi="Times New Roman"/>
                <w:sz w:val="24"/>
                <w:szCs w:val="24"/>
              </w:rPr>
              <w:t>600</w:t>
            </w:r>
            <w:r>
              <w:rPr>
                <w:rFonts w:ascii="Times New Roman" w:hAnsi="Times New Roman"/>
                <w:sz w:val="24"/>
                <w:szCs w:val="24"/>
              </w:rPr>
              <w:t>–</w:t>
            </w:r>
            <w:r w:rsidRPr="00F464D9">
              <w:rPr>
                <w:rFonts w:ascii="Times New Roman" w:hAnsi="Times New Roman"/>
                <w:sz w:val="24"/>
                <w:szCs w:val="24"/>
              </w:rPr>
              <w:t>6</w:t>
            </w:r>
            <w:r>
              <w:rPr>
                <w:rFonts w:ascii="Times New Roman" w:hAnsi="Times New Roman"/>
                <w:sz w:val="24"/>
                <w:szCs w:val="24"/>
              </w:rPr>
              <w:t xml:space="preserve"> </w:t>
            </w:r>
            <w:r w:rsidRPr="00F464D9">
              <w:rPr>
                <w:rFonts w:ascii="Times New Roman" w:hAnsi="Times New Roman"/>
                <w:sz w:val="24"/>
                <w:szCs w:val="24"/>
              </w:rPr>
              <w:t>800 Eur</w:t>
            </w:r>
            <w:r>
              <w:rPr>
                <w:rFonts w:ascii="Times New Roman" w:hAnsi="Times New Roman"/>
                <w:sz w:val="24"/>
                <w:szCs w:val="24"/>
              </w:rPr>
              <w:t xml:space="preserve"> už t</w:t>
            </w:r>
            <w:r w:rsidRPr="00F464D9">
              <w:rPr>
                <w:rFonts w:ascii="Times New Roman" w:hAnsi="Times New Roman"/>
                <w:sz w:val="24"/>
                <w:szCs w:val="24"/>
              </w:rPr>
              <w:t>. Įmonė planuoja pradėti naują veiklą ir niekada neaugino žuvies. Tuo tarpu Žemės ūkio informacijos ir kaimo verslo centro duomenimis, pateikt</w:t>
            </w:r>
            <w:r>
              <w:rPr>
                <w:rFonts w:ascii="Times New Roman" w:hAnsi="Times New Roman"/>
                <w:sz w:val="24"/>
                <w:szCs w:val="24"/>
              </w:rPr>
              <w:t>a</w:t>
            </w:r>
            <w:r w:rsidRPr="00F464D9">
              <w:rPr>
                <w:rFonts w:ascii="Times New Roman" w:hAnsi="Times New Roman"/>
                <w:sz w:val="24"/>
                <w:szCs w:val="24"/>
              </w:rPr>
              <w:t xml:space="preserve">is internetiniame puslapyje </w:t>
            </w:r>
            <w:hyperlink r:id="rId9" w:history="1">
              <w:r w:rsidRPr="00F47820">
                <w:rPr>
                  <w:rFonts w:ascii="Times New Roman" w:hAnsi="Times New Roman"/>
                  <w:sz w:val="24"/>
                  <w:szCs w:val="24"/>
                </w:rPr>
                <w:t>www.vic.lt</w:t>
              </w:r>
            </w:hyperlink>
            <w:r w:rsidRPr="00F464D9">
              <w:rPr>
                <w:rFonts w:ascii="Times New Roman" w:hAnsi="Times New Roman"/>
                <w:sz w:val="24"/>
                <w:szCs w:val="24"/>
              </w:rPr>
              <w:t xml:space="preserve">, 2016 m. eršketo kaina </w:t>
            </w:r>
            <w:r>
              <w:rPr>
                <w:rFonts w:ascii="Times New Roman" w:hAnsi="Times New Roman"/>
                <w:sz w:val="24"/>
                <w:szCs w:val="24"/>
              </w:rPr>
              <w:t xml:space="preserve">yra </w:t>
            </w:r>
            <w:r w:rsidRPr="00F464D9">
              <w:rPr>
                <w:rFonts w:ascii="Times New Roman" w:hAnsi="Times New Roman"/>
                <w:sz w:val="24"/>
                <w:szCs w:val="24"/>
              </w:rPr>
              <w:t>6,22 Eur</w:t>
            </w:r>
            <w:r>
              <w:rPr>
                <w:rFonts w:ascii="Times New Roman" w:hAnsi="Times New Roman"/>
                <w:sz w:val="24"/>
                <w:szCs w:val="24"/>
              </w:rPr>
              <w:t xml:space="preserve"> už </w:t>
            </w:r>
            <w:r w:rsidRPr="00F464D9">
              <w:rPr>
                <w:rFonts w:ascii="Times New Roman" w:hAnsi="Times New Roman"/>
                <w:sz w:val="24"/>
                <w:szCs w:val="24"/>
              </w:rPr>
              <w:t xml:space="preserve">kg, upėtakio kaina </w:t>
            </w:r>
            <w:r>
              <w:rPr>
                <w:rFonts w:ascii="Times New Roman" w:hAnsi="Times New Roman"/>
                <w:sz w:val="24"/>
                <w:szCs w:val="24"/>
              </w:rPr>
              <w:t xml:space="preserve">– </w:t>
            </w:r>
            <w:r w:rsidRPr="00F464D9">
              <w:rPr>
                <w:rFonts w:ascii="Times New Roman" w:hAnsi="Times New Roman"/>
                <w:sz w:val="24"/>
                <w:szCs w:val="24"/>
              </w:rPr>
              <w:t>3,37 Eur</w:t>
            </w:r>
            <w:r>
              <w:rPr>
                <w:rFonts w:ascii="Times New Roman" w:hAnsi="Times New Roman"/>
                <w:sz w:val="24"/>
                <w:szCs w:val="24"/>
              </w:rPr>
              <w:t xml:space="preserve"> už </w:t>
            </w:r>
            <w:r w:rsidRPr="00F464D9">
              <w:rPr>
                <w:rFonts w:ascii="Times New Roman" w:hAnsi="Times New Roman"/>
                <w:sz w:val="24"/>
                <w:szCs w:val="24"/>
              </w:rPr>
              <w:t>kg. Uždarojoje akvakultūros sistemoje užaugintos žuvies vidutinė kaina buvo 3,77 Eur</w:t>
            </w:r>
            <w:r>
              <w:rPr>
                <w:rFonts w:ascii="Times New Roman" w:hAnsi="Times New Roman"/>
                <w:sz w:val="24"/>
                <w:szCs w:val="24"/>
              </w:rPr>
              <w:t xml:space="preserve"> už </w:t>
            </w:r>
            <w:r w:rsidRPr="00F464D9">
              <w:rPr>
                <w:rFonts w:ascii="Times New Roman" w:hAnsi="Times New Roman"/>
                <w:sz w:val="24"/>
                <w:szCs w:val="24"/>
              </w:rPr>
              <w:t xml:space="preserve">kg. Pareiškėja apie </w:t>
            </w:r>
            <w:r>
              <w:rPr>
                <w:rFonts w:ascii="Times New Roman" w:hAnsi="Times New Roman"/>
                <w:sz w:val="24"/>
                <w:szCs w:val="24"/>
              </w:rPr>
              <w:t>p</w:t>
            </w:r>
            <w:r w:rsidRPr="00F464D9">
              <w:rPr>
                <w:rFonts w:ascii="Times New Roman" w:hAnsi="Times New Roman"/>
                <w:sz w:val="24"/>
                <w:szCs w:val="24"/>
              </w:rPr>
              <w:t>rojekt</w:t>
            </w:r>
            <w:r>
              <w:rPr>
                <w:rFonts w:ascii="Times New Roman" w:hAnsi="Times New Roman"/>
                <w:sz w:val="24"/>
                <w:szCs w:val="24"/>
              </w:rPr>
              <w:t xml:space="preserve">e per aukštas </w:t>
            </w:r>
            <w:r w:rsidRPr="00F464D9">
              <w:rPr>
                <w:rFonts w:ascii="Times New Roman" w:hAnsi="Times New Roman"/>
                <w:sz w:val="24"/>
                <w:szCs w:val="24"/>
              </w:rPr>
              <w:t xml:space="preserve">kainas buvo informuota </w:t>
            </w:r>
            <w:r>
              <w:rPr>
                <w:rFonts w:ascii="Times New Roman" w:hAnsi="Times New Roman"/>
                <w:sz w:val="24"/>
                <w:szCs w:val="24"/>
              </w:rPr>
              <w:t>trečiajame p</w:t>
            </w:r>
            <w:r w:rsidRPr="00F464D9">
              <w:rPr>
                <w:rFonts w:ascii="Times New Roman" w:hAnsi="Times New Roman"/>
                <w:sz w:val="24"/>
                <w:szCs w:val="24"/>
              </w:rPr>
              <w:t>aklausime. Atsakydama į paklausimą, pareiškėja nepateikė informacijos apie pasirinktą produkcijos pardavimo kainų šaltinį.</w:t>
            </w:r>
          </w:p>
          <w:p w14:paraId="4CFC80D3" w14:textId="77777777" w:rsidR="00AE6E2B" w:rsidRPr="00F464D9" w:rsidRDefault="00AE6E2B" w:rsidP="00AE6E2B">
            <w:pPr>
              <w:spacing w:after="0" w:line="259" w:lineRule="auto"/>
              <w:jc w:val="both"/>
              <w:rPr>
                <w:rFonts w:ascii="Times New Roman" w:hAnsi="Times New Roman"/>
                <w:sz w:val="24"/>
                <w:szCs w:val="24"/>
              </w:rPr>
            </w:pPr>
            <w:r w:rsidRPr="00F47820">
              <w:rPr>
                <w:rFonts w:ascii="Times New Roman" w:hAnsi="Times New Roman"/>
                <w:sz w:val="24"/>
                <w:szCs w:val="24"/>
              </w:rPr>
              <w:t xml:space="preserve">             </w:t>
            </w:r>
            <w:r w:rsidRPr="00F464D9">
              <w:rPr>
                <w:rFonts w:ascii="Times New Roman" w:hAnsi="Times New Roman"/>
                <w:sz w:val="24"/>
                <w:szCs w:val="24"/>
              </w:rPr>
              <w:t xml:space="preserve">Kadangi net </w:t>
            </w:r>
            <w:r>
              <w:rPr>
                <w:rFonts w:ascii="Times New Roman" w:hAnsi="Times New Roman"/>
                <w:sz w:val="24"/>
                <w:szCs w:val="24"/>
              </w:rPr>
              <w:t>su tokiomis, pareiškėjo pateiktomis</w:t>
            </w:r>
            <w:r w:rsidRPr="00F464D9">
              <w:rPr>
                <w:rFonts w:ascii="Times New Roman" w:hAnsi="Times New Roman"/>
                <w:sz w:val="24"/>
                <w:szCs w:val="24"/>
              </w:rPr>
              <w:t xml:space="preserve"> produkcijos pardavimo kainomis </w:t>
            </w:r>
            <w:r>
              <w:rPr>
                <w:rFonts w:ascii="Times New Roman" w:hAnsi="Times New Roman"/>
                <w:sz w:val="24"/>
                <w:szCs w:val="24"/>
              </w:rPr>
              <w:t>p</w:t>
            </w:r>
            <w:r w:rsidRPr="00F464D9">
              <w:rPr>
                <w:rFonts w:ascii="Times New Roman" w:hAnsi="Times New Roman"/>
                <w:sz w:val="24"/>
                <w:szCs w:val="24"/>
              </w:rPr>
              <w:t>areiškėja nepasiekia nustatytų ekonominio gyvybingumo rodiklių reikšmių, pakartotinai nebuvo prašyta tikslinti kainų.</w:t>
            </w:r>
          </w:p>
          <w:p w14:paraId="0DE6F666" w14:textId="77777777" w:rsidR="00AE6E2B" w:rsidRPr="00F464D9" w:rsidRDefault="00AE6E2B" w:rsidP="00AE6E2B">
            <w:pPr>
              <w:spacing w:after="0" w:line="259" w:lineRule="auto"/>
              <w:jc w:val="both"/>
              <w:rPr>
                <w:rFonts w:ascii="Times New Roman" w:hAnsi="Times New Roman"/>
                <w:sz w:val="24"/>
                <w:szCs w:val="24"/>
              </w:rPr>
            </w:pPr>
            <w:r w:rsidRPr="00F47820">
              <w:rPr>
                <w:rFonts w:ascii="Times New Roman" w:hAnsi="Times New Roman"/>
                <w:sz w:val="24"/>
                <w:szCs w:val="24"/>
              </w:rPr>
              <w:t xml:space="preserve">             </w:t>
            </w:r>
            <w:r w:rsidRPr="00F464D9">
              <w:rPr>
                <w:rFonts w:ascii="Times New Roman" w:hAnsi="Times New Roman"/>
                <w:sz w:val="24"/>
                <w:szCs w:val="24"/>
              </w:rPr>
              <w:t xml:space="preserve">Atsižvelgiant į tai, kad pagal finansinėse prognozėse </w:t>
            </w:r>
            <w:r>
              <w:rPr>
                <w:rFonts w:ascii="Times New Roman" w:hAnsi="Times New Roman"/>
                <w:sz w:val="24"/>
                <w:szCs w:val="24"/>
              </w:rPr>
              <w:t>p</w:t>
            </w:r>
            <w:r w:rsidRPr="00F464D9">
              <w:rPr>
                <w:rFonts w:ascii="Times New Roman" w:hAnsi="Times New Roman"/>
                <w:sz w:val="24"/>
                <w:szCs w:val="24"/>
              </w:rPr>
              <w:t xml:space="preserve">areiškėjos pateiktus duomenis, paskolų padengimo rodiklis </w:t>
            </w:r>
            <w:r>
              <w:rPr>
                <w:rFonts w:ascii="Times New Roman" w:hAnsi="Times New Roman"/>
                <w:sz w:val="24"/>
                <w:szCs w:val="24"/>
              </w:rPr>
              <w:t>p</w:t>
            </w:r>
            <w:r w:rsidRPr="00F464D9">
              <w:rPr>
                <w:rFonts w:ascii="Times New Roman" w:hAnsi="Times New Roman"/>
                <w:sz w:val="24"/>
                <w:szCs w:val="24"/>
              </w:rPr>
              <w:t xml:space="preserve">rojekto įgyvendinimo ir kontrolės laikotarpio metais bei vidinės grąžos normos rodiklis </w:t>
            </w:r>
            <w:r w:rsidRPr="00F464D9">
              <w:rPr>
                <w:rFonts w:ascii="Times New Roman" w:hAnsi="Times New Roman"/>
                <w:sz w:val="24"/>
                <w:szCs w:val="24"/>
              </w:rPr>
              <w:lastRenderedPageBreak/>
              <w:t xml:space="preserve">neatitinka Ekonominio gyvybingumo </w:t>
            </w:r>
            <w:r>
              <w:rPr>
                <w:rFonts w:ascii="Times New Roman" w:hAnsi="Times New Roman"/>
                <w:sz w:val="24"/>
                <w:szCs w:val="24"/>
              </w:rPr>
              <w:t xml:space="preserve">nustatymo </w:t>
            </w:r>
            <w:r w:rsidRPr="00F464D9">
              <w:rPr>
                <w:rFonts w:ascii="Times New Roman" w:hAnsi="Times New Roman"/>
                <w:sz w:val="24"/>
                <w:szCs w:val="24"/>
              </w:rPr>
              <w:t xml:space="preserve">taisyklių III skyriaus lentelėje nustatytų reikšmių, </w:t>
            </w:r>
            <w:r>
              <w:rPr>
                <w:rFonts w:ascii="Times New Roman" w:hAnsi="Times New Roman"/>
                <w:sz w:val="24"/>
                <w:szCs w:val="24"/>
              </w:rPr>
              <w:t>pareiškėja</w:t>
            </w:r>
            <w:r w:rsidRPr="00F464D9">
              <w:rPr>
                <w:rFonts w:ascii="Times New Roman" w:hAnsi="Times New Roman"/>
                <w:sz w:val="24"/>
                <w:szCs w:val="24"/>
              </w:rPr>
              <w:t xml:space="preserve"> neatitinka Taisyklių 26 punkte nustatyto tinkamumo kriterijaus. </w:t>
            </w:r>
          </w:p>
          <w:p w14:paraId="70874F10" w14:textId="77777777" w:rsidR="00AE6E2B" w:rsidRPr="00F47820" w:rsidRDefault="00AE6E2B" w:rsidP="00AE6E2B">
            <w:pPr>
              <w:spacing w:after="0" w:line="259" w:lineRule="auto"/>
              <w:jc w:val="both"/>
              <w:rPr>
                <w:rFonts w:ascii="Times New Roman" w:hAnsi="Times New Roman"/>
                <w:color w:val="0000FF"/>
                <w:sz w:val="24"/>
                <w:szCs w:val="24"/>
                <w:u w:val="single"/>
              </w:rPr>
            </w:pPr>
            <w:r w:rsidRPr="00F47820">
              <w:rPr>
                <w:rFonts w:ascii="Times New Roman" w:hAnsi="Times New Roman"/>
                <w:sz w:val="24"/>
                <w:szCs w:val="24"/>
              </w:rPr>
              <w:t xml:space="preserve">             </w:t>
            </w:r>
            <w:r w:rsidRPr="00F464D9">
              <w:rPr>
                <w:rFonts w:ascii="Times New Roman" w:hAnsi="Times New Roman"/>
                <w:sz w:val="24"/>
                <w:szCs w:val="24"/>
              </w:rPr>
              <w:t xml:space="preserve">Pažymėtina, kad </w:t>
            </w:r>
            <w:r>
              <w:rPr>
                <w:rFonts w:ascii="Times New Roman" w:hAnsi="Times New Roman"/>
                <w:sz w:val="24"/>
                <w:szCs w:val="24"/>
              </w:rPr>
              <w:t>p</w:t>
            </w:r>
            <w:r w:rsidRPr="00F464D9">
              <w:rPr>
                <w:rFonts w:ascii="Times New Roman" w:hAnsi="Times New Roman"/>
                <w:sz w:val="24"/>
                <w:szCs w:val="24"/>
              </w:rPr>
              <w:t xml:space="preserve">areiškėjos rašte ekonominio gyvybingumo rodiklius siūloma skaičiuoti kitaip, nei nurodyta Ekonominio gyvybingumo nustatymo taisyklėse. Pareiškėja nurodo, </w:t>
            </w:r>
            <w:r>
              <w:rPr>
                <w:rFonts w:ascii="Times New Roman" w:hAnsi="Times New Roman"/>
                <w:sz w:val="24"/>
                <w:szCs w:val="24"/>
              </w:rPr>
              <w:t xml:space="preserve">kad </w:t>
            </w:r>
            <w:r w:rsidRPr="00F464D9">
              <w:rPr>
                <w:rFonts w:ascii="Times New Roman" w:hAnsi="Times New Roman"/>
                <w:sz w:val="24"/>
                <w:szCs w:val="24"/>
              </w:rPr>
              <w:t>Agentūra, skaičiuo</w:t>
            </w:r>
            <w:r>
              <w:rPr>
                <w:rFonts w:ascii="Times New Roman" w:hAnsi="Times New Roman"/>
                <w:sz w:val="24"/>
                <w:szCs w:val="24"/>
              </w:rPr>
              <w:t>dama</w:t>
            </w:r>
            <w:r w:rsidRPr="00F464D9">
              <w:rPr>
                <w:rFonts w:ascii="Times New Roman" w:hAnsi="Times New Roman"/>
                <w:sz w:val="24"/>
                <w:szCs w:val="24"/>
              </w:rPr>
              <w:t xml:space="preserve"> vidinės grąžos normos rodiklį ima pirminio projekto duomenis (suprantama, kaip LV0) bei imamas terminas vienais metais mažiau. Pareiškėja Registro centro duomenimis yra veikiantis ūkio subjektas, todėl pagal </w:t>
            </w:r>
            <w:r>
              <w:rPr>
                <w:rFonts w:ascii="Times New Roman" w:hAnsi="Times New Roman"/>
                <w:sz w:val="24"/>
                <w:szCs w:val="24"/>
              </w:rPr>
              <w:t>pirmiau</w:t>
            </w:r>
            <w:r w:rsidRPr="00F464D9">
              <w:rPr>
                <w:rFonts w:ascii="Times New Roman" w:hAnsi="Times New Roman"/>
                <w:sz w:val="24"/>
                <w:szCs w:val="24"/>
              </w:rPr>
              <w:t xml:space="preserve"> nurodytą formulę</w:t>
            </w:r>
            <w:r>
              <w:rPr>
                <w:rFonts w:ascii="Times New Roman" w:hAnsi="Times New Roman"/>
                <w:sz w:val="24"/>
                <w:szCs w:val="24"/>
              </w:rPr>
              <w:t>, vidinės grąžos normos rodiklis skaičiuojamas taip:</w:t>
            </w:r>
            <w:r w:rsidRPr="00F464D9">
              <w:rPr>
                <w:rFonts w:ascii="Times New Roman" w:hAnsi="Times New Roman"/>
                <w:sz w:val="24"/>
                <w:szCs w:val="24"/>
              </w:rPr>
              <w:t xml:space="preserve"> LV0</w:t>
            </w:r>
            <w:r w:rsidRPr="00F464D9">
              <w:rPr>
                <w:rFonts w:ascii="Times New Roman" w:hAnsi="Times New Roman"/>
                <w:color w:val="000000"/>
                <w:sz w:val="24"/>
                <w:szCs w:val="24"/>
              </w:rPr>
              <w:t xml:space="preserve"> </w:t>
            </w:r>
            <w:r>
              <w:rPr>
                <w:rFonts w:ascii="Times New Roman" w:hAnsi="Times New Roman"/>
                <w:color w:val="000000"/>
                <w:sz w:val="24"/>
                <w:szCs w:val="24"/>
              </w:rPr>
              <w:t>„minus“</w:t>
            </w:r>
            <w:r w:rsidRPr="00F464D9">
              <w:rPr>
                <w:rFonts w:ascii="Times New Roman" w:hAnsi="Times New Roman"/>
                <w:color w:val="000000"/>
                <w:sz w:val="24"/>
                <w:szCs w:val="24"/>
              </w:rPr>
              <w:t xml:space="preserve"> ūkio subjekto investuoto kapitalo vertė ataskaitinių metų pabaigoje (ilgalaikis turtas (išskyrus finansinį turtą) </w:t>
            </w:r>
            <w:r>
              <w:rPr>
                <w:rFonts w:ascii="Times New Roman" w:hAnsi="Times New Roman"/>
                <w:color w:val="000000"/>
                <w:sz w:val="24"/>
                <w:szCs w:val="24"/>
              </w:rPr>
              <w:t>„plius“</w:t>
            </w:r>
            <w:r w:rsidRPr="00F464D9">
              <w:rPr>
                <w:rFonts w:ascii="Times New Roman" w:hAnsi="Times New Roman"/>
                <w:color w:val="000000"/>
                <w:sz w:val="24"/>
                <w:szCs w:val="24"/>
              </w:rPr>
              <w:t xml:space="preserve"> atsargos </w:t>
            </w:r>
            <w:r>
              <w:rPr>
                <w:rFonts w:ascii="Times New Roman" w:hAnsi="Times New Roman"/>
                <w:color w:val="000000"/>
                <w:sz w:val="24"/>
                <w:szCs w:val="24"/>
              </w:rPr>
              <w:t>„plius“</w:t>
            </w:r>
            <w:r w:rsidRPr="00F464D9">
              <w:rPr>
                <w:rFonts w:ascii="Times New Roman" w:hAnsi="Times New Roman"/>
                <w:color w:val="000000"/>
                <w:sz w:val="24"/>
                <w:szCs w:val="24"/>
              </w:rPr>
              <w:t xml:space="preserve"> biologinis turtas </w:t>
            </w:r>
            <w:r>
              <w:rPr>
                <w:rFonts w:ascii="Times New Roman" w:hAnsi="Times New Roman"/>
                <w:color w:val="000000"/>
                <w:sz w:val="24"/>
                <w:szCs w:val="24"/>
              </w:rPr>
              <w:t>„plius“</w:t>
            </w:r>
            <w:r w:rsidRPr="00F464D9">
              <w:rPr>
                <w:rFonts w:ascii="Times New Roman" w:hAnsi="Times New Roman"/>
                <w:color w:val="000000"/>
                <w:sz w:val="24"/>
                <w:szCs w:val="24"/>
              </w:rPr>
              <w:t xml:space="preserve"> gautinos prekybos </w:t>
            </w:r>
            <w:r w:rsidRPr="00E573C5">
              <w:rPr>
                <w:rFonts w:ascii="Times New Roman" w:hAnsi="Times New Roman"/>
                <w:color w:val="000000"/>
                <w:sz w:val="24"/>
                <w:szCs w:val="24"/>
              </w:rPr>
              <w:t>skolos</w:t>
            </w:r>
            <w:r w:rsidRPr="00F464D9">
              <w:rPr>
                <w:rFonts w:ascii="Times New Roman" w:hAnsi="Times New Roman"/>
                <w:color w:val="000000"/>
                <w:sz w:val="24"/>
                <w:szCs w:val="24"/>
              </w:rPr>
              <w:t xml:space="preserve"> tiekėjams ir </w:t>
            </w:r>
            <w:r w:rsidRPr="00C320A9">
              <w:rPr>
                <w:rFonts w:ascii="Times New Roman" w:hAnsi="Times New Roman"/>
                <w:color w:val="000000"/>
                <w:sz w:val="24"/>
                <w:szCs w:val="24"/>
              </w:rPr>
              <w:t>gauti išankstiniai mokėjimai).</w:t>
            </w:r>
            <w:r w:rsidRPr="00F464D9">
              <w:rPr>
                <w:rFonts w:ascii="Times New Roman" w:hAnsi="Times New Roman"/>
                <w:sz w:val="24"/>
                <w:szCs w:val="24"/>
              </w:rPr>
              <w:t xml:space="preserve"> Pareiškėjos ataskaitiniai metai yra 2016 metai, nes paraiška pateikta 2017 metais. Ekonominio gyvybingumo</w:t>
            </w:r>
            <w:r>
              <w:rPr>
                <w:rFonts w:ascii="Times New Roman" w:hAnsi="Times New Roman"/>
                <w:sz w:val="24"/>
                <w:szCs w:val="24"/>
              </w:rPr>
              <w:t xml:space="preserve"> nustatymo</w:t>
            </w:r>
            <w:r w:rsidRPr="00F464D9">
              <w:rPr>
                <w:rFonts w:ascii="Times New Roman" w:hAnsi="Times New Roman"/>
                <w:sz w:val="24"/>
                <w:szCs w:val="24"/>
              </w:rPr>
              <w:t xml:space="preserve"> taisyklių 2.1 papunktyje nustatyta, kad ataskaitiniai metai, tai </w:t>
            </w:r>
            <w:r w:rsidRPr="00F464D9">
              <w:rPr>
                <w:rFonts w:ascii="Times New Roman" w:hAnsi="Times New Roman"/>
                <w:color w:val="000000"/>
                <w:sz w:val="24"/>
                <w:szCs w:val="24"/>
              </w:rPr>
              <w:t xml:space="preserve">finansiniai metai, ėję prieš paramos paraiškos pateikimo </w:t>
            </w:r>
            <w:r w:rsidRPr="00F47820">
              <w:rPr>
                <w:rFonts w:ascii="Times New Roman" w:hAnsi="Times New Roman"/>
                <w:color w:val="000000"/>
                <w:sz w:val="24"/>
                <w:szCs w:val="24"/>
              </w:rPr>
              <w:t xml:space="preserve">Agentūrai </w:t>
            </w:r>
            <w:r w:rsidRPr="00F464D9">
              <w:rPr>
                <w:rFonts w:ascii="Times New Roman" w:hAnsi="Times New Roman"/>
                <w:color w:val="000000"/>
                <w:sz w:val="24"/>
                <w:szCs w:val="24"/>
              </w:rPr>
              <w:t>metus</w:t>
            </w:r>
            <w:r w:rsidRPr="00F464D9">
              <w:rPr>
                <w:rFonts w:ascii="Times New Roman" w:hAnsi="Times New Roman"/>
                <w:sz w:val="24"/>
                <w:szCs w:val="24"/>
              </w:rPr>
              <w:t>. LV7 - ūkio subjekto investuoto kapitalo vertė eurais septintaisiais planuojamais metais (skaičiuojama analogiškai kaip LV0, iš prognozuojamųjų metų balanso). Pareiškėjos septintieji prognozuojami metai yra 202</w:t>
            </w:r>
            <w:r>
              <w:rPr>
                <w:rFonts w:ascii="Times New Roman" w:hAnsi="Times New Roman"/>
                <w:sz w:val="24"/>
                <w:szCs w:val="24"/>
              </w:rPr>
              <w:t>3</w:t>
            </w:r>
            <w:r w:rsidRPr="00F464D9">
              <w:rPr>
                <w:rFonts w:ascii="Times New Roman" w:hAnsi="Times New Roman"/>
                <w:sz w:val="24"/>
                <w:szCs w:val="24"/>
              </w:rPr>
              <w:t xml:space="preserve"> metai. Agentūra neturi teisės keisti Ekonominio gyvybingumo nustatymo taisyklių, o rodiklių negali skaičiuoti taip, kaip </w:t>
            </w:r>
            <w:r>
              <w:rPr>
                <w:rFonts w:ascii="Times New Roman" w:hAnsi="Times New Roman"/>
                <w:sz w:val="24"/>
                <w:szCs w:val="24"/>
              </w:rPr>
              <w:t>p</w:t>
            </w:r>
            <w:r w:rsidRPr="00F464D9">
              <w:rPr>
                <w:rFonts w:ascii="Times New Roman" w:hAnsi="Times New Roman"/>
                <w:sz w:val="24"/>
                <w:szCs w:val="24"/>
              </w:rPr>
              <w:t>areiškėjo</w:t>
            </w:r>
            <w:r>
              <w:rPr>
                <w:rFonts w:ascii="Times New Roman" w:hAnsi="Times New Roman"/>
                <w:sz w:val="24"/>
                <w:szCs w:val="24"/>
              </w:rPr>
              <w:t>s</w:t>
            </w:r>
            <w:r w:rsidRPr="00F464D9">
              <w:rPr>
                <w:rFonts w:ascii="Times New Roman" w:hAnsi="Times New Roman"/>
                <w:sz w:val="24"/>
                <w:szCs w:val="24"/>
              </w:rPr>
              <w:t xml:space="preserve"> rašte pageidaujama, nes bus pažeistos kitų pareiškėjų teisės.</w:t>
            </w:r>
          </w:p>
          <w:p w14:paraId="11F118DE" w14:textId="77777777" w:rsidR="00AE6E2B" w:rsidRPr="00F47820" w:rsidRDefault="00AE6E2B" w:rsidP="00AE6E2B">
            <w:pPr>
              <w:spacing w:after="0" w:line="259" w:lineRule="auto"/>
              <w:jc w:val="both"/>
              <w:rPr>
                <w:rFonts w:ascii="Times New Roman" w:hAnsi="Times New Roman"/>
                <w:sz w:val="24"/>
                <w:szCs w:val="24"/>
              </w:rPr>
            </w:pPr>
            <w:r w:rsidRPr="00F47820">
              <w:rPr>
                <w:rFonts w:ascii="Times New Roman" w:hAnsi="Times New Roman"/>
                <w:sz w:val="24"/>
                <w:szCs w:val="24"/>
              </w:rPr>
              <w:t xml:space="preserve">             Kadangi, projekto vertinimo rezultatas neigiamas, todėl išlaidos ir įsipareigojimai nevertinami.</w:t>
            </w:r>
          </w:p>
          <w:p w14:paraId="6953C075" w14:textId="77777777" w:rsidR="00AE6E2B" w:rsidRPr="00F464D9" w:rsidRDefault="00AE6E2B" w:rsidP="00AE6E2B">
            <w:pPr>
              <w:spacing w:after="0" w:line="259" w:lineRule="auto"/>
              <w:jc w:val="both"/>
              <w:rPr>
                <w:rFonts w:ascii="Times New Roman" w:hAnsi="Times New Roman"/>
                <w:sz w:val="24"/>
                <w:szCs w:val="24"/>
              </w:rPr>
            </w:pPr>
            <w:r w:rsidRPr="00F47820">
              <w:rPr>
                <w:rFonts w:ascii="Times New Roman" w:hAnsi="Times New Roman"/>
                <w:sz w:val="24"/>
                <w:szCs w:val="24"/>
              </w:rPr>
              <w:t xml:space="preserve">             Atsižvelgiant į tai, </w:t>
            </w:r>
            <w:r>
              <w:rPr>
                <w:rFonts w:ascii="Times New Roman" w:hAnsi="Times New Roman"/>
                <w:sz w:val="24"/>
                <w:szCs w:val="24"/>
              </w:rPr>
              <w:t>kas išdėstyta, p</w:t>
            </w:r>
            <w:r w:rsidRPr="00F47820">
              <w:rPr>
                <w:rFonts w:ascii="Times New Roman" w:hAnsi="Times New Roman"/>
                <w:sz w:val="24"/>
                <w:szCs w:val="24"/>
              </w:rPr>
              <w:t xml:space="preserve">areiškėja ir po pakartotinio </w:t>
            </w:r>
            <w:r>
              <w:rPr>
                <w:rFonts w:ascii="Times New Roman" w:hAnsi="Times New Roman"/>
                <w:sz w:val="24"/>
                <w:szCs w:val="24"/>
              </w:rPr>
              <w:t>p</w:t>
            </w:r>
            <w:r w:rsidRPr="00F47820">
              <w:rPr>
                <w:rFonts w:ascii="Times New Roman" w:hAnsi="Times New Roman"/>
                <w:sz w:val="24"/>
                <w:szCs w:val="24"/>
              </w:rPr>
              <w:t xml:space="preserve">araiškos įvertinimo neatitinka </w:t>
            </w:r>
            <w:r w:rsidRPr="00F464D9">
              <w:rPr>
                <w:rFonts w:ascii="Times New Roman" w:hAnsi="Times New Roman"/>
                <w:sz w:val="24"/>
                <w:szCs w:val="24"/>
              </w:rPr>
              <w:t>Taisyklių 22, 25 ir 26 punktuose nustatytų tinkamumo gauti paramą kriterijų</w:t>
            </w:r>
            <w:r>
              <w:rPr>
                <w:rFonts w:ascii="Times New Roman" w:hAnsi="Times New Roman"/>
                <w:sz w:val="24"/>
                <w:szCs w:val="24"/>
              </w:rPr>
              <w:t>,</w:t>
            </w:r>
            <w:r w:rsidRPr="00F47820">
              <w:rPr>
                <w:rFonts w:ascii="Times New Roman" w:hAnsi="Times New Roman"/>
                <w:sz w:val="24"/>
                <w:szCs w:val="24"/>
              </w:rPr>
              <w:t xml:space="preserve"> todėl </w:t>
            </w:r>
            <w:r>
              <w:rPr>
                <w:rFonts w:ascii="Times New Roman" w:hAnsi="Times New Roman"/>
                <w:sz w:val="24"/>
                <w:szCs w:val="24"/>
              </w:rPr>
              <w:t>p</w:t>
            </w:r>
            <w:r w:rsidRPr="00F47820">
              <w:rPr>
                <w:rFonts w:ascii="Times New Roman" w:hAnsi="Times New Roman"/>
                <w:sz w:val="24"/>
                <w:szCs w:val="24"/>
              </w:rPr>
              <w:t>rojektas netinkamas gauti paramą.</w:t>
            </w:r>
          </w:p>
          <w:p w14:paraId="39B79CC7" w14:textId="4B10D76C" w:rsidR="0006205F" w:rsidRPr="002D7CDF" w:rsidRDefault="0006205F" w:rsidP="002D7CDF">
            <w:pPr>
              <w:spacing w:after="0" w:line="240" w:lineRule="auto"/>
              <w:ind w:left="-360" w:firstLine="360"/>
              <w:rPr>
                <w:rFonts w:ascii="Times New Roman" w:hAnsi="Times New Roman"/>
                <w:b/>
                <w:bCs/>
              </w:rPr>
            </w:pPr>
          </w:p>
        </w:tc>
      </w:tr>
    </w:tbl>
    <w:p w14:paraId="6F13E764" w14:textId="77777777" w:rsidR="0006205F" w:rsidRPr="002D7CDF" w:rsidRDefault="0006205F" w:rsidP="0006205F">
      <w:pPr>
        <w:spacing w:after="0" w:line="240" w:lineRule="auto"/>
        <w:ind w:right="-1021" w:firstLine="709"/>
        <w:jc w:val="both"/>
        <w:rPr>
          <w:rFonts w:ascii="Times New Roman" w:hAnsi="Times New Roman"/>
          <w:sz w:val="23"/>
          <w:szCs w:val="23"/>
        </w:rPr>
      </w:pPr>
    </w:p>
    <w:p w14:paraId="595DC845" w14:textId="77777777" w:rsidR="0097315F" w:rsidRPr="002D7CDF" w:rsidRDefault="0097315F" w:rsidP="0097315F">
      <w:pPr>
        <w:spacing w:after="0" w:line="240" w:lineRule="auto"/>
        <w:ind w:right="-1021" w:firstLine="709"/>
        <w:jc w:val="both"/>
        <w:rPr>
          <w:rFonts w:ascii="Times New Roman" w:hAnsi="Times New Roman"/>
          <w:sz w:val="23"/>
          <w:szCs w:val="23"/>
        </w:rPr>
      </w:pPr>
      <w:r w:rsidRPr="002D7CDF">
        <w:rPr>
          <w:rFonts w:ascii="Times New Roman" w:hAnsi="Times New Roman"/>
          <w:sz w:val="23"/>
          <w:szCs w:val="23"/>
        </w:rPr>
        <w:t xml:space="preserve">Šis sprendimas gali būti skundžiamas Lietuvos Respublikos </w:t>
      </w:r>
      <w:r>
        <w:rPr>
          <w:rFonts w:ascii="Times New Roman" w:hAnsi="Times New Roman"/>
          <w:sz w:val="23"/>
          <w:szCs w:val="23"/>
        </w:rPr>
        <w:t xml:space="preserve">ikiteisminio </w:t>
      </w:r>
      <w:r w:rsidRPr="002D7CDF">
        <w:rPr>
          <w:rFonts w:ascii="Times New Roman" w:hAnsi="Times New Roman"/>
          <w:sz w:val="23"/>
          <w:szCs w:val="23"/>
        </w:rPr>
        <w:t xml:space="preserve">administracinių ginčų </w:t>
      </w:r>
      <w:r>
        <w:rPr>
          <w:rFonts w:ascii="Times New Roman" w:hAnsi="Times New Roman"/>
          <w:sz w:val="23"/>
          <w:szCs w:val="23"/>
        </w:rPr>
        <w:t xml:space="preserve">nagrinėjimo tvarkos </w:t>
      </w:r>
      <w:r w:rsidRPr="002D7CDF">
        <w:rPr>
          <w:rFonts w:ascii="Times New Roman" w:hAnsi="Times New Roman"/>
          <w:sz w:val="23"/>
          <w:szCs w:val="23"/>
        </w:rPr>
        <w:t xml:space="preserve">įstatymo nustatyta tvarka </w:t>
      </w:r>
      <w:r>
        <w:rPr>
          <w:rFonts w:ascii="Times New Roman" w:hAnsi="Times New Roman"/>
          <w:sz w:val="23"/>
          <w:szCs w:val="23"/>
        </w:rPr>
        <w:t xml:space="preserve">Lietuvos </w:t>
      </w:r>
      <w:r w:rsidRPr="002D7CDF">
        <w:rPr>
          <w:rFonts w:ascii="Times New Roman" w:hAnsi="Times New Roman"/>
          <w:sz w:val="23"/>
          <w:szCs w:val="23"/>
        </w:rPr>
        <w:t>administracinių ginčų komisijai arba Lietuvos Respublikos administracinių bylų teisenos įstatymo nustatyta tvarka administraciniam teismui.</w:t>
      </w:r>
    </w:p>
    <w:p w14:paraId="5C1E86BE" w14:textId="77777777" w:rsidR="0006205F" w:rsidRPr="002D7CDF" w:rsidRDefault="0006205F" w:rsidP="0006205F">
      <w:pPr>
        <w:ind w:right="-1023"/>
        <w:jc w:val="center"/>
        <w:rPr>
          <w:rFonts w:ascii="Times New Roman" w:hAnsi="Times New Roman"/>
          <w:sz w:val="23"/>
          <w:szCs w:val="23"/>
        </w:rPr>
      </w:pPr>
      <w:r w:rsidRPr="002D7CDF">
        <w:rPr>
          <w:rFonts w:ascii="Times New Roman" w:hAnsi="Times New Roman"/>
          <w:sz w:val="23"/>
          <w:szCs w:val="23"/>
        </w:rPr>
        <w:t>__________________________________________</w:t>
      </w:r>
    </w:p>
    <w:p w14:paraId="22656806" w14:textId="3BF7A7EA" w:rsidR="00691A19" w:rsidRPr="002D7CDF" w:rsidRDefault="00691A19" w:rsidP="0006205F"/>
    <w:sectPr w:rsidR="00691A19" w:rsidRPr="002D7CDF" w:rsidSect="00930A2A">
      <w:headerReference w:type="default" r:id="rId10"/>
      <w:pgSz w:w="16838" w:h="11906" w:orient="landscape"/>
      <w:pgMar w:top="85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2FCDCA" w14:textId="77777777" w:rsidR="00293B0B" w:rsidRDefault="00293B0B" w:rsidP="007C202D">
      <w:pPr>
        <w:spacing w:after="0" w:line="240" w:lineRule="auto"/>
      </w:pPr>
      <w:r>
        <w:separator/>
      </w:r>
    </w:p>
  </w:endnote>
  <w:endnote w:type="continuationSeparator" w:id="0">
    <w:p w14:paraId="02C12BC6" w14:textId="77777777" w:rsidR="00293B0B" w:rsidRDefault="00293B0B" w:rsidP="007C20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97C891" w14:textId="77777777" w:rsidR="00293B0B" w:rsidRDefault="00293B0B" w:rsidP="007C202D">
      <w:pPr>
        <w:spacing w:after="0" w:line="240" w:lineRule="auto"/>
      </w:pPr>
      <w:r>
        <w:separator/>
      </w:r>
    </w:p>
  </w:footnote>
  <w:footnote w:type="continuationSeparator" w:id="0">
    <w:p w14:paraId="4D1F9037" w14:textId="77777777" w:rsidR="00293B0B" w:rsidRDefault="00293B0B" w:rsidP="007C20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65680D" w14:textId="77777777" w:rsidR="007C202D" w:rsidRDefault="007C202D">
    <w:pPr>
      <w:pStyle w:val="Antrats"/>
      <w:jc w:val="center"/>
    </w:pPr>
    <w:r>
      <w:fldChar w:fldCharType="begin"/>
    </w:r>
    <w:r>
      <w:instrText xml:space="preserve"> PAGE   \* MERGEFORMAT </w:instrText>
    </w:r>
    <w:r>
      <w:fldChar w:fldCharType="separate"/>
    </w:r>
    <w:r w:rsidR="00D24AD7">
      <w:rPr>
        <w:noProof/>
      </w:rPr>
      <w:t>8</w:t>
    </w:r>
    <w:r>
      <w:fldChar w:fldCharType="end"/>
    </w:r>
  </w:p>
  <w:p w14:paraId="2265680E" w14:textId="77777777" w:rsidR="007C202D" w:rsidRDefault="007C20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751BD"/>
    <w:multiLevelType w:val="hybridMultilevel"/>
    <w:tmpl w:val="C80AAE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55F1F59"/>
    <w:multiLevelType w:val="hybridMultilevel"/>
    <w:tmpl w:val="4CD629BC"/>
    <w:lvl w:ilvl="0" w:tplc="58A8C258">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16074DB"/>
    <w:multiLevelType w:val="hybridMultilevel"/>
    <w:tmpl w:val="3E02384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37450E5B"/>
    <w:multiLevelType w:val="hybridMultilevel"/>
    <w:tmpl w:val="6DF85FA6"/>
    <w:lvl w:ilvl="0" w:tplc="E74E299A">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5B371C63"/>
    <w:multiLevelType w:val="hybridMultilevel"/>
    <w:tmpl w:val="4776E6A2"/>
    <w:lvl w:ilvl="0" w:tplc="F9027C68">
      <w:numFmt w:val="bullet"/>
      <w:lvlText w:val="-"/>
      <w:lvlJc w:val="left"/>
      <w:pPr>
        <w:ind w:left="404" w:hanging="360"/>
      </w:pPr>
      <w:rPr>
        <w:rFonts w:ascii="Times New Roman" w:eastAsia="Times New Roman" w:hAnsi="Times New Roman" w:cs="Times New Roman" w:hint="default"/>
      </w:rPr>
    </w:lvl>
    <w:lvl w:ilvl="1" w:tplc="04270003">
      <w:start w:val="1"/>
      <w:numFmt w:val="bullet"/>
      <w:lvlText w:val="o"/>
      <w:lvlJc w:val="left"/>
      <w:pPr>
        <w:ind w:left="1124" w:hanging="360"/>
      </w:pPr>
      <w:rPr>
        <w:rFonts w:ascii="Courier New" w:hAnsi="Courier New" w:cs="Courier New" w:hint="default"/>
      </w:rPr>
    </w:lvl>
    <w:lvl w:ilvl="2" w:tplc="04270005">
      <w:start w:val="1"/>
      <w:numFmt w:val="bullet"/>
      <w:lvlText w:val=""/>
      <w:lvlJc w:val="left"/>
      <w:pPr>
        <w:ind w:left="1844" w:hanging="360"/>
      </w:pPr>
      <w:rPr>
        <w:rFonts w:ascii="Wingdings" w:hAnsi="Wingdings" w:hint="default"/>
      </w:rPr>
    </w:lvl>
    <w:lvl w:ilvl="3" w:tplc="04270001">
      <w:start w:val="1"/>
      <w:numFmt w:val="bullet"/>
      <w:lvlText w:val=""/>
      <w:lvlJc w:val="left"/>
      <w:pPr>
        <w:ind w:left="2564" w:hanging="360"/>
      </w:pPr>
      <w:rPr>
        <w:rFonts w:ascii="Symbol" w:hAnsi="Symbol" w:hint="default"/>
      </w:rPr>
    </w:lvl>
    <w:lvl w:ilvl="4" w:tplc="04270003">
      <w:start w:val="1"/>
      <w:numFmt w:val="bullet"/>
      <w:lvlText w:val="o"/>
      <w:lvlJc w:val="left"/>
      <w:pPr>
        <w:ind w:left="3284" w:hanging="360"/>
      </w:pPr>
      <w:rPr>
        <w:rFonts w:ascii="Courier New" w:hAnsi="Courier New" w:cs="Courier New" w:hint="default"/>
      </w:rPr>
    </w:lvl>
    <w:lvl w:ilvl="5" w:tplc="04270005">
      <w:start w:val="1"/>
      <w:numFmt w:val="bullet"/>
      <w:lvlText w:val=""/>
      <w:lvlJc w:val="left"/>
      <w:pPr>
        <w:ind w:left="4004" w:hanging="360"/>
      </w:pPr>
      <w:rPr>
        <w:rFonts w:ascii="Wingdings" w:hAnsi="Wingdings" w:hint="default"/>
      </w:rPr>
    </w:lvl>
    <w:lvl w:ilvl="6" w:tplc="04270001">
      <w:start w:val="1"/>
      <w:numFmt w:val="bullet"/>
      <w:lvlText w:val=""/>
      <w:lvlJc w:val="left"/>
      <w:pPr>
        <w:ind w:left="4724" w:hanging="360"/>
      </w:pPr>
      <w:rPr>
        <w:rFonts w:ascii="Symbol" w:hAnsi="Symbol" w:hint="default"/>
      </w:rPr>
    </w:lvl>
    <w:lvl w:ilvl="7" w:tplc="04270003">
      <w:start w:val="1"/>
      <w:numFmt w:val="bullet"/>
      <w:lvlText w:val="o"/>
      <w:lvlJc w:val="left"/>
      <w:pPr>
        <w:ind w:left="5444" w:hanging="360"/>
      </w:pPr>
      <w:rPr>
        <w:rFonts w:ascii="Courier New" w:hAnsi="Courier New" w:cs="Courier New" w:hint="default"/>
      </w:rPr>
    </w:lvl>
    <w:lvl w:ilvl="8" w:tplc="04270005">
      <w:start w:val="1"/>
      <w:numFmt w:val="bullet"/>
      <w:lvlText w:val=""/>
      <w:lvlJc w:val="left"/>
      <w:pPr>
        <w:ind w:left="6164" w:hanging="360"/>
      </w:pPr>
      <w:rPr>
        <w:rFonts w:ascii="Wingdings" w:hAnsi="Wingdings" w:hint="default"/>
      </w:rPr>
    </w:lvl>
  </w:abstractNum>
  <w:abstractNum w:abstractNumId="5" w15:restartNumberingAfterBreak="0">
    <w:nsid w:val="75522C71"/>
    <w:multiLevelType w:val="hybridMultilevel"/>
    <w:tmpl w:val="5F62A7AE"/>
    <w:lvl w:ilvl="0" w:tplc="D2C442AE">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7A630DE9"/>
    <w:multiLevelType w:val="hybridMultilevel"/>
    <w:tmpl w:val="5B8094FE"/>
    <w:lvl w:ilvl="0" w:tplc="04270001">
      <w:start w:val="1"/>
      <w:numFmt w:val="bullet"/>
      <w:lvlText w:val=""/>
      <w:lvlJc w:val="left"/>
      <w:pPr>
        <w:ind w:left="1107" w:hanging="360"/>
      </w:pPr>
      <w:rPr>
        <w:rFonts w:ascii="Symbol" w:hAnsi="Symbol" w:hint="default"/>
      </w:rPr>
    </w:lvl>
    <w:lvl w:ilvl="1" w:tplc="04270003" w:tentative="1">
      <w:start w:val="1"/>
      <w:numFmt w:val="bullet"/>
      <w:lvlText w:val="o"/>
      <w:lvlJc w:val="left"/>
      <w:pPr>
        <w:ind w:left="1827" w:hanging="360"/>
      </w:pPr>
      <w:rPr>
        <w:rFonts w:ascii="Courier New" w:hAnsi="Courier New" w:cs="Courier New" w:hint="default"/>
      </w:rPr>
    </w:lvl>
    <w:lvl w:ilvl="2" w:tplc="04270005" w:tentative="1">
      <w:start w:val="1"/>
      <w:numFmt w:val="bullet"/>
      <w:lvlText w:val=""/>
      <w:lvlJc w:val="left"/>
      <w:pPr>
        <w:ind w:left="2547" w:hanging="360"/>
      </w:pPr>
      <w:rPr>
        <w:rFonts w:ascii="Wingdings" w:hAnsi="Wingdings" w:hint="default"/>
      </w:rPr>
    </w:lvl>
    <w:lvl w:ilvl="3" w:tplc="04270001" w:tentative="1">
      <w:start w:val="1"/>
      <w:numFmt w:val="bullet"/>
      <w:lvlText w:val=""/>
      <w:lvlJc w:val="left"/>
      <w:pPr>
        <w:ind w:left="3267" w:hanging="360"/>
      </w:pPr>
      <w:rPr>
        <w:rFonts w:ascii="Symbol" w:hAnsi="Symbol" w:hint="default"/>
      </w:rPr>
    </w:lvl>
    <w:lvl w:ilvl="4" w:tplc="04270003" w:tentative="1">
      <w:start w:val="1"/>
      <w:numFmt w:val="bullet"/>
      <w:lvlText w:val="o"/>
      <w:lvlJc w:val="left"/>
      <w:pPr>
        <w:ind w:left="3987" w:hanging="360"/>
      </w:pPr>
      <w:rPr>
        <w:rFonts w:ascii="Courier New" w:hAnsi="Courier New" w:cs="Courier New" w:hint="default"/>
      </w:rPr>
    </w:lvl>
    <w:lvl w:ilvl="5" w:tplc="04270005" w:tentative="1">
      <w:start w:val="1"/>
      <w:numFmt w:val="bullet"/>
      <w:lvlText w:val=""/>
      <w:lvlJc w:val="left"/>
      <w:pPr>
        <w:ind w:left="4707" w:hanging="360"/>
      </w:pPr>
      <w:rPr>
        <w:rFonts w:ascii="Wingdings" w:hAnsi="Wingdings" w:hint="default"/>
      </w:rPr>
    </w:lvl>
    <w:lvl w:ilvl="6" w:tplc="04270001" w:tentative="1">
      <w:start w:val="1"/>
      <w:numFmt w:val="bullet"/>
      <w:lvlText w:val=""/>
      <w:lvlJc w:val="left"/>
      <w:pPr>
        <w:ind w:left="5427" w:hanging="360"/>
      </w:pPr>
      <w:rPr>
        <w:rFonts w:ascii="Symbol" w:hAnsi="Symbol" w:hint="default"/>
      </w:rPr>
    </w:lvl>
    <w:lvl w:ilvl="7" w:tplc="04270003" w:tentative="1">
      <w:start w:val="1"/>
      <w:numFmt w:val="bullet"/>
      <w:lvlText w:val="o"/>
      <w:lvlJc w:val="left"/>
      <w:pPr>
        <w:ind w:left="6147" w:hanging="360"/>
      </w:pPr>
      <w:rPr>
        <w:rFonts w:ascii="Courier New" w:hAnsi="Courier New" w:cs="Courier New" w:hint="default"/>
      </w:rPr>
    </w:lvl>
    <w:lvl w:ilvl="8" w:tplc="04270005" w:tentative="1">
      <w:start w:val="1"/>
      <w:numFmt w:val="bullet"/>
      <w:lvlText w:val=""/>
      <w:lvlJc w:val="left"/>
      <w:pPr>
        <w:ind w:left="6867"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A19"/>
    <w:rsid w:val="0000108C"/>
    <w:rsid w:val="00004831"/>
    <w:rsid w:val="0000798F"/>
    <w:rsid w:val="00014AD1"/>
    <w:rsid w:val="00020AB5"/>
    <w:rsid w:val="0003154C"/>
    <w:rsid w:val="00033043"/>
    <w:rsid w:val="00037C97"/>
    <w:rsid w:val="00042CA7"/>
    <w:rsid w:val="000465AC"/>
    <w:rsid w:val="00052776"/>
    <w:rsid w:val="0006205F"/>
    <w:rsid w:val="00066762"/>
    <w:rsid w:val="0007288C"/>
    <w:rsid w:val="00075E23"/>
    <w:rsid w:val="00077F98"/>
    <w:rsid w:val="00092503"/>
    <w:rsid w:val="000933EA"/>
    <w:rsid w:val="00093F7D"/>
    <w:rsid w:val="0009626B"/>
    <w:rsid w:val="00097CC8"/>
    <w:rsid w:val="000A017E"/>
    <w:rsid w:val="000A6EDA"/>
    <w:rsid w:val="000B2705"/>
    <w:rsid w:val="000B4A4D"/>
    <w:rsid w:val="000B53F5"/>
    <w:rsid w:val="000B6FE2"/>
    <w:rsid w:val="000C096C"/>
    <w:rsid w:val="000C10F6"/>
    <w:rsid w:val="000D0002"/>
    <w:rsid w:val="000D30FD"/>
    <w:rsid w:val="000E45AE"/>
    <w:rsid w:val="000E5B1A"/>
    <w:rsid w:val="000F0765"/>
    <w:rsid w:val="001027D6"/>
    <w:rsid w:val="00103694"/>
    <w:rsid w:val="00111D61"/>
    <w:rsid w:val="001226FA"/>
    <w:rsid w:val="00122EA9"/>
    <w:rsid w:val="0012358E"/>
    <w:rsid w:val="001272AE"/>
    <w:rsid w:val="00132610"/>
    <w:rsid w:val="0014017F"/>
    <w:rsid w:val="001405F3"/>
    <w:rsid w:val="001471F5"/>
    <w:rsid w:val="0014796C"/>
    <w:rsid w:val="001521F7"/>
    <w:rsid w:val="00170A81"/>
    <w:rsid w:val="00172724"/>
    <w:rsid w:val="00176C88"/>
    <w:rsid w:val="00181AF7"/>
    <w:rsid w:val="00181E2B"/>
    <w:rsid w:val="00186EF1"/>
    <w:rsid w:val="001877E1"/>
    <w:rsid w:val="00191613"/>
    <w:rsid w:val="00191646"/>
    <w:rsid w:val="0019330F"/>
    <w:rsid w:val="00193C60"/>
    <w:rsid w:val="001A75DF"/>
    <w:rsid w:val="001B19E7"/>
    <w:rsid w:val="001C1EA0"/>
    <w:rsid w:val="001C63F4"/>
    <w:rsid w:val="001D6437"/>
    <w:rsid w:val="001E5F11"/>
    <w:rsid w:val="001F5C21"/>
    <w:rsid w:val="001F6D80"/>
    <w:rsid w:val="00206E1A"/>
    <w:rsid w:val="00223961"/>
    <w:rsid w:val="00225915"/>
    <w:rsid w:val="002262F5"/>
    <w:rsid w:val="0023599C"/>
    <w:rsid w:val="00237A42"/>
    <w:rsid w:val="00253ADC"/>
    <w:rsid w:val="002558D9"/>
    <w:rsid w:val="00256E86"/>
    <w:rsid w:val="00256EF2"/>
    <w:rsid w:val="00263063"/>
    <w:rsid w:val="0026355D"/>
    <w:rsid w:val="00264CB7"/>
    <w:rsid w:val="002758D1"/>
    <w:rsid w:val="00283DE7"/>
    <w:rsid w:val="00287B5E"/>
    <w:rsid w:val="00290001"/>
    <w:rsid w:val="00293B0B"/>
    <w:rsid w:val="00294121"/>
    <w:rsid w:val="002A095B"/>
    <w:rsid w:val="002A4E2C"/>
    <w:rsid w:val="002A6715"/>
    <w:rsid w:val="002A6C34"/>
    <w:rsid w:val="002A7CB7"/>
    <w:rsid w:val="002B0BFE"/>
    <w:rsid w:val="002B2E36"/>
    <w:rsid w:val="002B4B21"/>
    <w:rsid w:val="002B52E5"/>
    <w:rsid w:val="002B6245"/>
    <w:rsid w:val="002C0073"/>
    <w:rsid w:val="002C4543"/>
    <w:rsid w:val="002C7154"/>
    <w:rsid w:val="002D1716"/>
    <w:rsid w:val="002D7BC2"/>
    <w:rsid w:val="002D7CDF"/>
    <w:rsid w:val="002E198F"/>
    <w:rsid w:val="002E2887"/>
    <w:rsid w:val="002E3E0B"/>
    <w:rsid w:val="002E58FA"/>
    <w:rsid w:val="002F7822"/>
    <w:rsid w:val="003101D8"/>
    <w:rsid w:val="00316FC0"/>
    <w:rsid w:val="00321A47"/>
    <w:rsid w:val="003244D8"/>
    <w:rsid w:val="00343719"/>
    <w:rsid w:val="0034388E"/>
    <w:rsid w:val="00347021"/>
    <w:rsid w:val="003510CB"/>
    <w:rsid w:val="00360559"/>
    <w:rsid w:val="00361F3B"/>
    <w:rsid w:val="00366C16"/>
    <w:rsid w:val="003774E8"/>
    <w:rsid w:val="00382A2F"/>
    <w:rsid w:val="003901C7"/>
    <w:rsid w:val="00391F2F"/>
    <w:rsid w:val="003A338E"/>
    <w:rsid w:val="003A3637"/>
    <w:rsid w:val="003C1EC2"/>
    <w:rsid w:val="003D22F2"/>
    <w:rsid w:val="003D2715"/>
    <w:rsid w:val="003D495A"/>
    <w:rsid w:val="003E7140"/>
    <w:rsid w:val="004042B3"/>
    <w:rsid w:val="00416944"/>
    <w:rsid w:val="004219C6"/>
    <w:rsid w:val="004329CB"/>
    <w:rsid w:val="00441175"/>
    <w:rsid w:val="00443DCF"/>
    <w:rsid w:val="00445C5A"/>
    <w:rsid w:val="004475B4"/>
    <w:rsid w:val="00450625"/>
    <w:rsid w:val="00453D34"/>
    <w:rsid w:val="00467E95"/>
    <w:rsid w:val="004714BE"/>
    <w:rsid w:val="004807BE"/>
    <w:rsid w:val="00497DE0"/>
    <w:rsid w:val="004F45A0"/>
    <w:rsid w:val="00502594"/>
    <w:rsid w:val="005063A6"/>
    <w:rsid w:val="00513BB8"/>
    <w:rsid w:val="00523EED"/>
    <w:rsid w:val="00526C8C"/>
    <w:rsid w:val="00543D14"/>
    <w:rsid w:val="005445A4"/>
    <w:rsid w:val="0055038F"/>
    <w:rsid w:val="0055303D"/>
    <w:rsid w:val="00553279"/>
    <w:rsid w:val="00572EF6"/>
    <w:rsid w:val="005734E2"/>
    <w:rsid w:val="005745D8"/>
    <w:rsid w:val="0058088D"/>
    <w:rsid w:val="00580DF2"/>
    <w:rsid w:val="00585AB9"/>
    <w:rsid w:val="00586948"/>
    <w:rsid w:val="005955E5"/>
    <w:rsid w:val="005A7E6F"/>
    <w:rsid w:val="005B793D"/>
    <w:rsid w:val="005C4C89"/>
    <w:rsid w:val="005C5D06"/>
    <w:rsid w:val="005D0D81"/>
    <w:rsid w:val="005D5785"/>
    <w:rsid w:val="005E1902"/>
    <w:rsid w:val="005E7DC3"/>
    <w:rsid w:val="005F425A"/>
    <w:rsid w:val="00600588"/>
    <w:rsid w:val="0060221E"/>
    <w:rsid w:val="006118FA"/>
    <w:rsid w:val="00613B8E"/>
    <w:rsid w:val="00614768"/>
    <w:rsid w:val="00614E34"/>
    <w:rsid w:val="00623483"/>
    <w:rsid w:val="00623F58"/>
    <w:rsid w:val="00624F20"/>
    <w:rsid w:val="006337FB"/>
    <w:rsid w:val="00633CFE"/>
    <w:rsid w:val="006408C0"/>
    <w:rsid w:val="00642C8A"/>
    <w:rsid w:val="0066531E"/>
    <w:rsid w:val="0066683A"/>
    <w:rsid w:val="006714EB"/>
    <w:rsid w:val="00680F96"/>
    <w:rsid w:val="006844C0"/>
    <w:rsid w:val="00684A12"/>
    <w:rsid w:val="006873EB"/>
    <w:rsid w:val="0069097B"/>
    <w:rsid w:val="00691A19"/>
    <w:rsid w:val="00696FB7"/>
    <w:rsid w:val="006A3A1A"/>
    <w:rsid w:val="006B0FB3"/>
    <w:rsid w:val="006B1309"/>
    <w:rsid w:val="006B4FF6"/>
    <w:rsid w:val="006B5E9B"/>
    <w:rsid w:val="006C0541"/>
    <w:rsid w:val="006C2697"/>
    <w:rsid w:val="006C51A3"/>
    <w:rsid w:val="006D1CE3"/>
    <w:rsid w:val="006D4E0E"/>
    <w:rsid w:val="006D575C"/>
    <w:rsid w:val="006E063F"/>
    <w:rsid w:val="006E29F9"/>
    <w:rsid w:val="006E4629"/>
    <w:rsid w:val="006E63B4"/>
    <w:rsid w:val="006F368C"/>
    <w:rsid w:val="006F4CB6"/>
    <w:rsid w:val="00711D3D"/>
    <w:rsid w:val="00711E0E"/>
    <w:rsid w:val="0071262F"/>
    <w:rsid w:val="0071284C"/>
    <w:rsid w:val="00715351"/>
    <w:rsid w:val="007167C1"/>
    <w:rsid w:val="00732C01"/>
    <w:rsid w:val="00733695"/>
    <w:rsid w:val="0073621A"/>
    <w:rsid w:val="00750F54"/>
    <w:rsid w:val="007545C1"/>
    <w:rsid w:val="00755EF4"/>
    <w:rsid w:val="00763BBF"/>
    <w:rsid w:val="00763D8B"/>
    <w:rsid w:val="00772218"/>
    <w:rsid w:val="0077396F"/>
    <w:rsid w:val="00781417"/>
    <w:rsid w:val="00783683"/>
    <w:rsid w:val="007854F1"/>
    <w:rsid w:val="00792BED"/>
    <w:rsid w:val="00795AA8"/>
    <w:rsid w:val="00796DF9"/>
    <w:rsid w:val="007A0C2E"/>
    <w:rsid w:val="007B0400"/>
    <w:rsid w:val="007B3B57"/>
    <w:rsid w:val="007B64C0"/>
    <w:rsid w:val="007C1AFA"/>
    <w:rsid w:val="007C202D"/>
    <w:rsid w:val="007D18D2"/>
    <w:rsid w:val="007D739B"/>
    <w:rsid w:val="007E1171"/>
    <w:rsid w:val="007E2467"/>
    <w:rsid w:val="007E2E47"/>
    <w:rsid w:val="007E3A1A"/>
    <w:rsid w:val="007E4314"/>
    <w:rsid w:val="007E63C7"/>
    <w:rsid w:val="00801962"/>
    <w:rsid w:val="00801F05"/>
    <w:rsid w:val="00805823"/>
    <w:rsid w:val="00812146"/>
    <w:rsid w:val="008207E7"/>
    <w:rsid w:val="00826B45"/>
    <w:rsid w:val="00826CD3"/>
    <w:rsid w:val="0082717F"/>
    <w:rsid w:val="0082799B"/>
    <w:rsid w:val="00831DE4"/>
    <w:rsid w:val="00833808"/>
    <w:rsid w:val="00841C96"/>
    <w:rsid w:val="008513BE"/>
    <w:rsid w:val="00853E24"/>
    <w:rsid w:val="00857C14"/>
    <w:rsid w:val="008614D7"/>
    <w:rsid w:val="0086522D"/>
    <w:rsid w:val="0086719C"/>
    <w:rsid w:val="0086721E"/>
    <w:rsid w:val="00870974"/>
    <w:rsid w:val="008729EB"/>
    <w:rsid w:val="008812CD"/>
    <w:rsid w:val="0088414E"/>
    <w:rsid w:val="00893144"/>
    <w:rsid w:val="008947ED"/>
    <w:rsid w:val="008A1E41"/>
    <w:rsid w:val="008B386D"/>
    <w:rsid w:val="008B530D"/>
    <w:rsid w:val="008C182A"/>
    <w:rsid w:val="008C1AEA"/>
    <w:rsid w:val="008C416F"/>
    <w:rsid w:val="008C76F9"/>
    <w:rsid w:val="008D1A8C"/>
    <w:rsid w:val="00911DDD"/>
    <w:rsid w:val="00912D2C"/>
    <w:rsid w:val="00912E8C"/>
    <w:rsid w:val="009164AC"/>
    <w:rsid w:val="00921341"/>
    <w:rsid w:val="009265C4"/>
    <w:rsid w:val="00930A2A"/>
    <w:rsid w:val="00954E66"/>
    <w:rsid w:val="00956F93"/>
    <w:rsid w:val="00971B08"/>
    <w:rsid w:val="0097315F"/>
    <w:rsid w:val="00973D3C"/>
    <w:rsid w:val="00973F3C"/>
    <w:rsid w:val="009819C9"/>
    <w:rsid w:val="00984644"/>
    <w:rsid w:val="00990BF3"/>
    <w:rsid w:val="00991965"/>
    <w:rsid w:val="009941D7"/>
    <w:rsid w:val="0099728C"/>
    <w:rsid w:val="009A3BE4"/>
    <w:rsid w:val="009A7D4C"/>
    <w:rsid w:val="009B1279"/>
    <w:rsid w:val="009B15EB"/>
    <w:rsid w:val="009B6144"/>
    <w:rsid w:val="009C2515"/>
    <w:rsid w:val="009C26A0"/>
    <w:rsid w:val="00A03638"/>
    <w:rsid w:val="00A050B3"/>
    <w:rsid w:val="00A052E8"/>
    <w:rsid w:val="00A06934"/>
    <w:rsid w:val="00A1155E"/>
    <w:rsid w:val="00A14C1D"/>
    <w:rsid w:val="00A207BA"/>
    <w:rsid w:val="00A25E5F"/>
    <w:rsid w:val="00A262E0"/>
    <w:rsid w:val="00A26963"/>
    <w:rsid w:val="00A2744E"/>
    <w:rsid w:val="00A46689"/>
    <w:rsid w:val="00A62148"/>
    <w:rsid w:val="00A66831"/>
    <w:rsid w:val="00A93EAE"/>
    <w:rsid w:val="00AA0D7C"/>
    <w:rsid w:val="00AB501B"/>
    <w:rsid w:val="00AB7E5D"/>
    <w:rsid w:val="00AC0DFE"/>
    <w:rsid w:val="00AC541E"/>
    <w:rsid w:val="00AD056D"/>
    <w:rsid w:val="00AD30D2"/>
    <w:rsid w:val="00AD35D2"/>
    <w:rsid w:val="00AE0C8E"/>
    <w:rsid w:val="00AE10DB"/>
    <w:rsid w:val="00AE6E2B"/>
    <w:rsid w:val="00B14EAE"/>
    <w:rsid w:val="00B16988"/>
    <w:rsid w:val="00B20471"/>
    <w:rsid w:val="00B2270F"/>
    <w:rsid w:val="00B34BB3"/>
    <w:rsid w:val="00B36D6C"/>
    <w:rsid w:val="00B4576E"/>
    <w:rsid w:val="00B5363A"/>
    <w:rsid w:val="00B66C05"/>
    <w:rsid w:val="00B75598"/>
    <w:rsid w:val="00B836D0"/>
    <w:rsid w:val="00B83D29"/>
    <w:rsid w:val="00B85EA1"/>
    <w:rsid w:val="00B87FBD"/>
    <w:rsid w:val="00B90588"/>
    <w:rsid w:val="00BA1BBE"/>
    <w:rsid w:val="00BA2A06"/>
    <w:rsid w:val="00BA3E0F"/>
    <w:rsid w:val="00BA3FF2"/>
    <w:rsid w:val="00BA7ECA"/>
    <w:rsid w:val="00BB6B73"/>
    <w:rsid w:val="00BB6F86"/>
    <w:rsid w:val="00BC4470"/>
    <w:rsid w:val="00BC4681"/>
    <w:rsid w:val="00BD783C"/>
    <w:rsid w:val="00BE419A"/>
    <w:rsid w:val="00BE73D8"/>
    <w:rsid w:val="00BF59F5"/>
    <w:rsid w:val="00C02CFA"/>
    <w:rsid w:val="00C03596"/>
    <w:rsid w:val="00C039B9"/>
    <w:rsid w:val="00C04785"/>
    <w:rsid w:val="00C05CB0"/>
    <w:rsid w:val="00C05EF4"/>
    <w:rsid w:val="00C07050"/>
    <w:rsid w:val="00C0712E"/>
    <w:rsid w:val="00C074C9"/>
    <w:rsid w:val="00C14BEF"/>
    <w:rsid w:val="00C1517A"/>
    <w:rsid w:val="00C17E26"/>
    <w:rsid w:val="00C20B34"/>
    <w:rsid w:val="00C20D3E"/>
    <w:rsid w:val="00C21AE4"/>
    <w:rsid w:val="00C268B2"/>
    <w:rsid w:val="00C30D98"/>
    <w:rsid w:val="00C320A9"/>
    <w:rsid w:val="00C46493"/>
    <w:rsid w:val="00C4667B"/>
    <w:rsid w:val="00C46C5B"/>
    <w:rsid w:val="00C50A1F"/>
    <w:rsid w:val="00C5665D"/>
    <w:rsid w:val="00C6466D"/>
    <w:rsid w:val="00C672D6"/>
    <w:rsid w:val="00C674D0"/>
    <w:rsid w:val="00C73826"/>
    <w:rsid w:val="00C75C9A"/>
    <w:rsid w:val="00C83FBB"/>
    <w:rsid w:val="00C844B3"/>
    <w:rsid w:val="00C84B00"/>
    <w:rsid w:val="00C91DE3"/>
    <w:rsid w:val="00C9436B"/>
    <w:rsid w:val="00C94DF7"/>
    <w:rsid w:val="00C96CF9"/>
    <w:rsid w:val="00C96F59"/>
    <w:rsid w:val="00CA1660"/>
    <w:rsid w:val="00CA5373"/>
    <w:rsid w:val="00CA5396"/>
    <w:rsid w:val="00CA763C"/>
    <w:rsid w:val="00CC480A"/>
    <w:rsid w:val="00CC7EC8"/>
    <w:rsid w:val="00CD32D2"/>
    <w:rsid w:val="00CD5048"/>
    <w:rsid w:val="00CE12FF"/>
    <w:rsid w:val="00CE2FD6"/>
    <w:rsid w:val="00CF0DFF"/>
    <w:rsid w:val="00D02FA4"/>
    <w:rsid w:val="00D04DDC"/>
    <w:rsid w:val="00D207B5"/>
    <w:rsid w:val="00D21FA2"/>
    <w:rsid w:val="00D24AD7"/>
    <w:rsid w:val="00D324C5"/>
    <w:rsid w:val="00D3767A"/>
    <w:rsid w:val="00D55BBE"/>
    <w:rsid w:val="00D572B0"/>
    <w:rsid w:val="00D61256"/>
    <w:rsid w:val="00D701B3"/>
    <w:rsid w:val="00D771E1"/>
    <w:rsid w:val="00D8126B"/>
    <w:rsid w:val="00D84BB8"/>
    <w:rsid w:val="00D85B12"/>
    <w:rsid w:val="00D85F87"/>
    <w:rsid w:val="00D914B2"/>
    <w:rsid w:val="00D93D3B"/>
    <w:rsid w:val="00DA55EE"/>
    <w:rsid w:val="00DB0380"/>
    <w:rsid w:val="00DB4F48"/>
    <w:rsid w:val="00DB72F8"/>
    <w:rsid w:val="00DC1D92"/>
    <w:rsid w:val="00DC31DB"/>
    <w:rsid w:val="00DC3757"/>
    <w:rsid w:val="00DC50EE"/>
    <w:rsid w:val="00DC654C"/>
    <w:rsid w:val="00DD3103"/>
    <w:rsid w:val="00DD350F"/>
    <w:rsid w:val="00DE5974"/>
    <w:rsid w:val="00DF5C6C"/>
    <w:rsid w:val="00E00C8D"/>
    <w:rsid w:val="00E02105"/>
    <w:rsid w:val="00E06769"/>
    <w:rsid w:val="00E31453"/>
    <w:rsid w:val="00E46BE3"/>
    <w:rsid w:val="00E5166E"/>
    <w:rsid w:val="00E55892"/>
    <w:rsid w:val="00E60C66"/>
    <w:rsid w:val="00E60FB5"/>
    <w:rsid w:val="00E6241B"/>
    <w:rsid w:val="00E7006B"/>
    <w:rsid w:val="00E7521C"/>
    <w:rsid w:val="00E75DC6"/>
    <w:rsid w:val="00E85F11"/>
    <w:rsid w:val="00E9323F"/>
    <w:rsid w:val="00EB159C"/>
    <w:rsid w:val="00EB735F"/>
    <w:rsid w:val="00EC6A7B"/>
    <w:rsid w:val="00EC6DB0"/>
    <w:rsid w:val="00ED149D"/>
    <w:rsid w:val="00ED4E0E"/>
    <w:rsid w:val="00ED669A"/>
    <w:rsid w:val="00EE0FE5"/>
    <w:rsid w:val="00EE1C0E"/>
    <w:rsid w:val="00EE3E95"/>
    <w:rsid w:val="00EE6EAC"/>
    <w:rsid w:val="00F03693"/>
    <w:rsid w:val="00F0644E"/>
    <w:rsid w:val="00F119E3"/>
    <w:rsid w:val="00F130CD"/>
    <w:rsid w:val="00F16B68"/>
    <w:rsid w:val="00F21132"/>
    <w:rsid w:val="00F26BE6"/>
    <w:rsid w:val="00F27D6D"/>
    <w:rsid w:val="00F3134B"/>
    <w:rsid w:val="00F3743A"/>
    <w:rsid w:val="00F4227D"/>
    <w:rsid w:val="00F42AC9"/>
    <w:rsid w:val="00F44E95"/>
    <w:rsid w:val="00F44F1D"/>
    <w:rsid w:val="00F4616A"/>
    <w:rsid w:val="00F464D9"/>
    <w:rsid w:val="00F47820"/>
    <w:rsid w:val="00F51007"/>
    <w:rsid w:val="00F52F52"/>
    <w:rsid w:val="00F5320D"/>
    <w:rsid w:val="00F60922"/>
    <w:rsid w:val="00F6461C"/>
    <w:rsid w:val="00F653B4"/>
    <w:rsid w:val="00F71616"/>
    <w:rsid w:val="00F72B4F"/>
    <w:rsid w:val="00F74B3E"/>
    <w:rsid w:val="00F760C8"/>
    <w:rsid w:val="00F9012D"/>
    <w:rsid w:val="00F90741"/>
    <w:rsid w:val="00FB1776"/>
    <w:rsid w:val="00FB1DDA"/>
    <w:rsid w:val="00FB359C"/>
    <w:rsid w:val="00FC0A90"/>
    <w:rsid w:val="00FC2463"/>
    <w:rsid w:val="00FC6C78"/>
    <w:rsid w:val="00FD02E9"/>
    <w:rsid w:val="00FE6368"/>
    <w:rsid w:val="00FE7A32"/>
    <w:rsid w:val="00FF70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56797"/>
  <w15:chartTrackingRefBased/>
  <w15:docId w15:val="{AE960B35-79FE-43FA-B7C4-F60EDE096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91A19"/>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7B64C0"/>
    <w:pPr>
      <w:spacing w:after="0" w:line="240" w:lineRule="auto"/>
    </w:pPr>
    <w:rPr>
      <w:rFonts w:ascii="Tahoma" w:hAnsi="Tahoma"/>
      <w:sz w:val="16"/>
      <w:szCs w:val="16"/>
      <w:lang w:val="x-none"/>
    </w:rPr>
  </w:style>
  <w:style w:type="character" w:customStyle="1" w:styleId="DebesliotekstasDiagrama">
    <w:name w:val="Debesėlio tekstas Diagrama"/>
    <w:link w:val="Debesliotekstas"/>
    <w:uiPriority w:val="99"/>
    <w:semiHidden/>
    <w:rsid w:val="007B64C0"/>
    <w:rPr>
      <w:rFonts w:ascii="Tahoma" w:hAnsi="Tahoma" w:cs="Tahoma"/>
      <w:sz w:val="16"/>
      <w:szCs w:val="16"/>
      <w:lang w:eastAsia="en-US"/>
    </w:rPr>
  </w:style>
  <w:style w:type="character" w:styleId="Komentaronuoroda">
    <w:name w:val="annotation reference"/>
    <w:semiHidden/>
    <w:unhideWhenUsed/>
    <w:rsid w:val="00A62148"/>
    <w:rPr>
      <w:sz w:val="16"/>
      <w:szCs w:val="16"/>
    </w:rPr>
  </w:style>
  <w:style w:type="paragraph" w:styleId="Komentarotekstas">
    <w:name w:val="annotation text"/>
    <w:basedOn w:val="prastasis"/>
    <w:link w:val="KomentarotekstasDiagrama"/>
    <w:uiPriority w:val="99"/>
    <w:unhideWhenUsed/>
    <w:rsid w:val="00A62148"/>
    <w:rPr>
      <w:sz w:val="20"/>
      <w:szCs w:val="20"/>
      <w:lang w:val="x-none"/>
    </w:rPr>
  </w:style>
  <w:style w:type="character" w:customStyle="1" w:styleId="KomentarotekstasDiagrama">
    <w:name w:val="Komentaro tekstas Diagrama"/>
    <w:link w:val="Komentarotekstas"/>
    <w:uiPriority w:val="99"/>
    <w:rsid w:val="00A62148"/>
    <w:rPr>
      <w:rFonts w:ascii="Calibri" w:hAnsi="Calibri"/>
      <w:lang w:eastAsia="en-US"/>
    </w:rPr>
  </w:style>
  <w:style w:type="paragraph" w:styleId="Komentarotema">
    <w:name w:val="annotation subject"/>
    <w:basedOn w:val="Komentarotekstas"/>
    <w:next w:val="Komentarotekstas"/>
    <w:link w:val="KomentarotemaDiagrama"/>
    <w:uiPriority w:val="99"/>
    <w:semiHidden/>
    <w:unhideWhenUsed/>
    <w:rsid w:val="00A62148"/>
    <w:rPr>
      <w:b/>
      <w:bCs/>
    </w:rPr>
  </w:style>
  <w:style w:type="character" w:customStyle="1" w:styleId="KomentarotemaDiagrama">
    <w:name w:val="Komentaro tema Diagrama"/>
    <w:link w:val="Komentarotema"/>
    <w:uiPriority w:val="99"/>
    <w:semiHidden/>
    <w:rsid w:val="00A62148"/>
    <w:rPr>
      <w:rFonts w:ascii="Calibri" w:hAnsi="Calibri"/>
      <w:b/>
      <w:bCs/>
      <w:lang w:eastAsia="en-US"/>
    </w:rPr>
  </w:style>
  <w:style w:type="paragraph" w:styleId="Sraopastraipa">
    <w:name w:val="List Paragraph"/>
    <w:basedOn w:val="prastasis"/>
    <w:uiPriority w:val="34"/>
    <w:qFormat/>
    <w:rsid w:val="003A338E"/>
    <w:pPr>
      <w:spacing w:after="0" w:line="240" w:lineRule="auto"/>
      <w:ind w:left="720"/>
    </w:pPr>
    <w:rPr>
      <w:lang w:eastAsia="lt-LT"/>
    </w:rPr>
  </w:style>
  <w:style w:type="character" w:styleId="Hipersaitas">
    <w:name w:val="Hyperlink"/>
    <w:rsid w:val="005745D8"/>
    <w:rPr>
      <w:color w:val="0000FF"/>
      <w:u w:val="single"/>
    </w:rPr>
  </w:style>
  <w:style w:type="paragraph" w:styleId="Antrats">
    <w:name w:val="header"/>
    <w:basedOn w:val="prastasis"/>
    <w:link w:val="AntratsDiagrama"/>
    <w:uiPriority w:val="99"/>
    <w:unhideWhenUsed/>
    <w:rsid w:val="007C202D"/>
    <w:pPr>
      <w:tabs>
        <w:tab w:val="center" w:pos="4819"/>
        <w:tab w:val="right" w:pos="9638"/>
      </w:tabs>
    </w:pPr>
    <w:rPr>
      <w:lang w:val="x-none"/>
    </w:rPr>
  </w:style>
  <w:style w:type="character" w:customStyle="1" w:styleId="AntratsDiagrama">
    <w:name w:val="Antraštės Diagrama"/>
    <w:link w:val="Antrats"/>
    <w:uiPriority w:val="99"/>
    <w:rsid w:val="007C202D"/>
    <w:rPr>
      <w:rFonts w:ascii="Calibri" w:hAnsi="Calibri"/>
      <w:sz w:val="22"/>
      <w:szCs w:val="22"/>
      <w:lang w:eastAsia="en-US"/>
    </w:rPr>
  </w:style>
  <w:style w:type="paragraph" w:styleId="Porat">
    <w:name w:val="footer"/>
    <w:basedOn w:val="prastasis"/>
    <w:link w:val="PoratDiagrama"/>
    <w:uiPriority w:val="99"/>
    <w:semiHidden/>
    <w:unhideWhenUsed/>
    <w:rsid w:val="007C202D"/>
    <w:pPr>
      <w:tabs>
        <w:tab w:val="center" w:pos="4819"/>
        <w:tab w:val="right" w:pos="9638"/>
      </w:tabs>
    </w:pPr>
    <w:rPr>
      <w:lang w:val="x-none"/>
    </w:rPr>
  </w:style>
  <w:style w:type="character" w:customStyle="1" w:styleId="PoratDiagrama">
    <w:name w:val="Poraštė Diagrama"/>
    <w:link w:val="Porat"/>
    <w:uiPriority w:val="99"/>
    <w:semiHidden/>
    <w:rsid w:val="007C202D"/>
    <w:rPr>
      <w:rFonts w:ascii="Calibri" w:hAnsi="Calibri"/>
      <w:sz w:val="22"/>
      <w:szCs w:val="22"/>
      <w:lang w:eastAsia="en-US"/>
    </w:rPr>
  </w:style>
  <w:style w:type="paragraph" w:customStyle="1" w:styleId="tajtip">
    <w:name w:val="tajtip"/>
    <w:basedOn w:val="prastasis"/>
    <w:rsid w:val="003D495A"/>
    <w:pPr>
      <w:spacing w:before="100" w:beforeAutospacing="1" w:after="100" w:afterAutospacing="1" w:line="240" w:lineRule="auto"/>
    </w:pPr>
    <w:rPr>
      <w:rFonts w:ascii="Times New Roman" w:eastAsia="Times New Roman" w:hAnsi="Times New Roman"/>
      <w:sz w:val="24"/>
      <w:szCs w:val="24"/>
      <w:lang w:eastAsia="lt-LT"/>
    </w:rPr>
  </w:style>
  <w:style w:type="paragraph" w:styleId="Pataisymai">
    <w:name w:val="Revision"/>
    <w:hidden/>
    <w:uiPriority w:val="99"/>
    <w:semiHidden/>
    <w:rsid w:val="00361F3B"/>
    <w:rPr>
      <w:rFonts w:ascii="Calibri" w:hAnsi="Calibri"/>
      <w:sz w:val="22"/>
      <w:szCs w:val="22"/>
      <w:lang w:eastAsia="en-US"/>
    </w:rPr>
  </w:style>
  <w:style w:type="table" w:styleId="Lentelstinklelis">
    <w:name w:val="Table Grid"/>
    <w:basedOn w:val="prastojilentel"/>
    <w:uiPriority w:val="59"/>
    <w:rsid w:val="001C6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99"/>
    <w:semiHidden/>
    <w:unhideWhenUsed/>
    <w:rsid w:val="001C63F4"/>
    <w:pPr>
      <w:spacing w:after="0" w:line="240" w:lineRule="auto"/>
    </w:pPr>
    <w:rPr>
      <w:rFonts w:ascii="Times New Roman" w:eastAsia="Times New Roman" w:hAnsi="Times New Roman"/>
      <w:sz w:val="20"/>
      <w:szCs w:val="20"/>
    </w:rPr>
  </w:style>
  <w:style w:type="character" w:customStyle="1" w:styleId="PuslapioinaostekstasDiagrama">
    <w:name w:val="Puslapio išnašos tekstas Diagrama"/>
    <w:basedOn w:val="Numatytasispastraiposriftas"/>
    <w:link w:val="Puslapioinaostekstas"/>
    <w:uiPriority w:val="99"/>
    <w:semiHidden/>
    <w:rsid w:val="001C63F4"/>
    <w:rPr>
      <w:rFonts w:eastAsia="Times New Roman"/>
      <w:lang w:eastAsia="en-US"/>
    </w:rPr>
  </w:style>
  <w:style w:type="character" w:styleId="Puslapioinaosnuoroda">
    <w:name w:val="footnote reference"/>
    <w:basedOn w:val="Numatytasispastraiposriftas"/>
    <w:uiPriority w:val="99"/>
    <w:semiHidden/>
    <w:unhideWhenUsed/>
    <w:rsid w:val="001C63F4"/>
    <w:rPr>
      <w:vertAlign w:val="superscript"/>
    </w:rPr>
  </w:style>
  <w:style w:type="paragraph" w:customStyle="1" w:styleId="Default">
    <w:name w:val="Default"/>
    <w:rsid w:val="0097315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587116">
      <w:bodyDiv w:val="1"/>
      <w:marLeft w:val="225"/>
      <w:marRight w:val="225"/>
      <w:marTop w:val="0"/>
      <w:marBottom w:val="0"/>
      <w:divBdr>
        <w:top w:val="none" w:sz="0" w:space="0" w:color="auto"/>
        <w:left w:val="none" w:sz="0" w:space="0" w:color="auto"/>
        <w:bottom w:val="none" w:sz="0" w:space="0" w:color="auto"/>
        <w:right w:val="none" w:sz="0" w:space="0" w:color="auto"/>
      </w:divBdr>
      <w:divsChild>
        <w:div w:id="516697966">
          <w:marLeft w:val="0"/>
          <w:marRight w:val="0"/>
          <w:marTop w:val="0"/>
          <w:marBottom w:val="0"/>
          <w:divBdr>
            <w:top w:val="none" w:sz="0" w:space="0" w:color="auto"/>
            <w:left w:val="none" w:sz="0" w:space="0" w:color="auto"/>
            <w:bottom w:val="none" w:sz="0" w:space="0" w:color="auto"/>
            <w:right w:val="none" w:sz="0" w:space="0" w:color="auto"/>
          </w:divBdr>
        </w:div>
      </w:divsChild>
    </w:div>
    <w:div w:id="1961567292">
      <w:bodyDiv w:val="1"/>
      <w:marLeft w:val="0"/>
      <w:marRight w:val="0"/>
      <w:marTop w:val="0"/>
      <w:marBottom w:val="150"/>
      <w:divBdr>
        <w:top w:val="none" w:sz="0" w:space="0" w:color="auto"/>
        <w:left w:val="none" w:sz="0" w:space="0" w:color="auto"/>
        <w:bottom w:val="none" w:sz="0" w:space="0" w:color="auto"/>
        <w:right w:val="none" w:sz="0" w:space="0" w:color="auto"/>
      </w:divBdr>
      <w:divsChild>
        <w:div w:id="2016413850">
          <w:marLeft w:val="600"/>
          <w:marRight w:val="0"/>
          <w:marTop w:val="0"/>
          <w:marBottom w:val="0"/>
          <w:divBdr>
            <w:top w:val="none" w:sz="0" w:space="0" w:color="auto"/>
            <w:left w:val="none" w:sz="0" w:space="0" w:color="auto"/>
            <w:bottom w:val="none" w:sz="0" w:space="0" w:color="auto"/>
            <w:right w:val="none" w:sz="0" w:space="0" w:color="auto"/>
          </w:divBdr>
          <w:divsChild>
            <w:div w:id="160576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ic.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A81EDE7-1252-4B9A-A80C-5BFDC50D2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15189</Words>
  <Characters>8659</Characters>
  <Application>Microsoft Office Word</Application>
  <DocSecurity>4</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kristinasl</dc:creator>
  <cp:keywords/>
  <cp:lastModifiedBy>Darius Krištonaitis</cp:lastModifiedBy>
  <cp:revision>2</cp:revision>
  <cp:lastPrinted>2016-11-14T07:17:00Z</cp:lastPrinted>
  <dcterms:created xsi:type="dcterms:W3CDTF">2018-06-08T12:53:00Z</dcterms:created>
  <dcterms:modified xsi:type="dcterms:W3CDTF">2018-06-08T12:53:00Z</dcterms:modified>
</cp:coreProperties>
</file>