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F196BF" w14:textId="77777777" w:rsidR="0006205F" w:rsidRPr="00366C16" w:rsidRDefault="0006205F" w:rsidP="0006205F">
      <w:pPr>
        <w:spacing w:after="0" w:line="240" w:lineRule="auto"/>
        <w:ind w:right="-1023" w:firstLine="10206"/>
        <w:rPr>
          <w:rFonts w:ascii="Times New Roman" w:hAnsi="Times New Roman"/>
          <w:sz w:val="23"/>
          <w:szCs w:val="23"/>
        </w:rPr>
      </w:pPr>
      <w:r w:rsidRPr="00366C16">
        <w:rPr>
          <w:rFonts w:ascii="Times New Roman" w:hAnsi="Times New Roman"/>
          <w:sz w:val="23"/>
          <w:szCs w:val="23"/>
        </w:rPr>
        <w:t>PATVIRTINTA</w:t>
      </w:r>
    </w:p>
    <w:p w14:paraId="1D30F5F4" w14:textId="77777777" w:rsidR="0006205F" w:rsidRPr="00366C16" w:rsidRDefault="0006205F" w:rsidP="0006205F">
      <w:pPr>
        <w:spacing w:after="0" w:line="240" w:lineRule="auto"/>
        <w:ind w:right="-1448" w:firstLine="10206"/>
        <w:rPr>
          <w:rFonts w:ascii="Times New Roman" w:hAnsi="Times New Roman"/>
          <w:sz w:val="23"/>
          <w:szCs w:val="23"/>
        </w:rPr>
      </w:pPr>
      <w:r w:rsidRPr="00366C16">
        <w:rPr>
          <w:rFonts w:ascii="Times New Roman" w:hAnsi="Times New Roman"/>
          <w:sz w:val="23"/>
          <w:szCs w:val="23"/>
        </w:rPr>
        <w:t>Lietuvos Respublikos žemės ūkio ministerijos</w:t>
      </w:r>
    </w:p>
    <w:p w14:paraId="7A585FF0" w14:textId="509E5EDF" w:rsidR="0006205F" w:rsidRPr="00366C16" w:rsidRDefault="0006205F" w:rsidP="0006205F">
      <w:pPr>
        <w:spacing w:after="0" w:line="240" w:lineRule="auto"/>
        <w:ind w:right="-1023" w:firstLine="10206"/>
        <w:rPr>
          <w:rFonts w:ascii="Times New Roman" w:hAnsi="Times New Roman"/>
          <w:sz w:val="23"/>
          <w:szCs w:val="23"/>
        </w:rPr>
      </w:pPr>
      <w:r w:rsidRPr="00366C16">
        <w:rPr>
          <w:rFonts w:ascii="Times New Roman" w:hAnsi="Times New Roman"/>
          <w:sz w:val="23"/>
          <w:szCs w:val="23"/>
        </w:rPr>
        <w:t>kanclerio 201</w:t>
      </w:r>
      <w:r w:rsidR="003D2715" w:rsidRPr="00366C16">
        <w:rPr>
          <w:rFonts w:ascii="Times New Roman" w:hAnsi="Times New Roman"/>
          <w:sz w:val="23"/>
          <w:szCs w:val="23"/>
        </w:rPr>
        <w:t>8</w:t>
      </w:r>
      <w:r w:rsidRPr="00366C16">
        <w:rPr>
          <w:rFonts w:ascii="Times New Roman" w:hAnsi="Times New Roman"/>
          <w:sz w:val="23"/>
          <w:szCs w:val="23"/>
        </w:rPr>
        <w:t xml:space="preserve"> m.</w:t>
      </w:r>
      <w:r w:rsidR="003D2715" w:rsidRPr="00366C16">
        <w:rPr>
          <w:rFonts w:ascii="Times New Roman" w:hAnsi="Times New Roman"/>
          <w:sz w:val="23"/>
          <w:szCs w:val="23"/>
        </w:rPr>
        <w:t xml:space="preserve"> </w:t>
      </w:r>
      <w:r w:rsidR="006233EA">
        <w:rPr>
          <w:rFonts w:ascii="Times New Roman" w:hAnsi="Times New Roman"/>
          <w:sz w:val="23"/>
          <w:szCs w:val="23"/>
        </w:rPr>
        <w:t xml:space="preserve">balandžio 3 </w:t>
      </w:r>
      <w:bookmarkStart w:id="0" w:name="_GoBack"/>
      <w:bookmarkEnd w:id="0"/>
      <w:r w:rsidRPr="00366C16">
        <w:rPr>
          <w:rFonts w:ascii="Times New Roman" w:hAnsi="Times New Roman"/>
          <w:sz w:val="23"/>
          <w:szCs w:val="23"/>
        </w:rPr>
        <w:t>d.</w:t>
      </w:r>
    </w:p>
    <w:p w14:paraId="2B657346" w14:textId="40B4832C" w:rsidR="0006205F" w:rsidRPr="00366C16" w:rsidRDefault="0006205F" w:rsidP="0006205F">
      <w:pPr>
        <w:spacing w:after="0" w:line="240" w:lineRule="auto"/>
        <w:ind w:right="-1023" w:firstLine="10206"/>
        <w:rPr>
          <w:rFonts w:ascii="Times New Roman" w:hAnsi="Times New Roman"/>
          <w:sz w:val="23"/>
          <w:szCs w:val="23"/>
        </w:rPr>
      </w:pPr>
      <w:r w:rsidRPr="00366C16">
        <w:rPr>
          <w:rFonts w:ascii="Times New Roman" w:hAnsi="Times New Roman"/>
          <w:sz w:val="23"/>
          <w:szCs w:val="23"/>
        </w:rPr>
        <w:t>potvarkiu Nr. 4D-</w:t>
      </w:r>
      <w:r w:rsidR="006233EA">
        <w:rPr>
          <w:rFonts w:ascii="Times New Roman" w:hAnsi="Times New Roman"/>
          <w:sz w:val="23"/>
          <w:szCs w:val="23"/>
        </w:rPr>
        <w:t>35</w:t>
      </w:r>
    </w:p>
    <w:p w14:paraId="6E040C49" w14:textId="77777777" w:rsidR="0006205F" w:rsidRPr="00366C16" w:rsidRDefault="0006205F" w:rsidP="0006205F">
      <w:pPr>
        <w:spacing w:after="0" w:line="240" w:lineRule="auto"/>
        <w:ind w:firstLine="10206"/>
        <w:rPr>
          <w:rFonts w:ascii="Times New Roman" w:hAnsi="Times New Roman"/>
        </w:rPr>
      </w:pPr>
    </w:p>
    <w:p w14:paraId="2C582DC7" w14:textId="77777777" w:rsidR="0006205F" w:rsidRPr="00366C16" w:rsidRDefault="0006205F" w:rsidP="0006205F">
      <w:pPr>
        <w:spacing w:after="0" w:line="240" w:lineRule="auto"/>
        <w:jc w:val="center"/>
        <w:rPr>
          <w:rFonts w:ascii="Times New Roman" w:hAnsi="Times New Roman"/>
          <w:b/>
          <w:sz w:val="24"/>
          <w:szCs w:val="24"/>
        </w:rPr>
      </w:pPr>
      <w:r w:rsidRPr="00366C16">
        <w:rPr>
          <w:rFonts w:ascii="Times New Roman" w:hAnsi="Times New Roman"/>
          <w:b/>
          <w:bCs/>
          <w:sz w:val="24"/>
          <w:szCs w:val="24"/>
        </w:rPr>
        <w:t xml:space="preserve">PROJEKTŲ, KURIEMS NESKIRIAMA PARAMA PAGAL </w:t>
      </w:r>
      <w:r w:rsidRPr="00366C16">
        <w:rPr>
          <w:rFonts w:ascii="Times New Roman" w:hAnsi="Times New Roman"/>
          <w:b/>
          <w:sz w:val="24"/>
          <w:szCs w:val="24"/>
        </w:rPr>
        <w:t>LIETUVOS ŽUVININKYSTĖS SEKTORIAUS 2014–2020 METŲ VEIKSMŲ PROGRAMOS ANTROJO SĄJUNGOS PRIORITETO „APLINKOSAUGOS POŽIŪRIU TVARIOS, EFEKTYVIAI IŠTEKLIUS NAUDOJANČIOS, INOVACINĖS, KONKURENCINGOS IR ŽINIOMIS GRINDŽIAMOS AKVAKULTŪROS SKATINIMAS“  PRIEMONĘ „PRODUKTYVIOS INVESTICIJOS Į AKVAKULTŪRĄ“, SĄRAŠAS</w:t>
      </w:r>
    </w:p>
    <w:p w14:paraId="4DE0FC71" w14:textId="77777777" w:rsidR="0006205F" w:rsidRPr="00366C16" w:rsidRDefault="0006205F" w:rsidP="0006205F">
      <w:pPr>
        <w:spacing w:after="0" w:line="240" w:lineRule="auto"/>
        <w:jc w:val="center"/>
        <w:rPr>
          <w:rFonts w:ascii="Times New Roman" w:hAnsi="Times New Roman"/>
          <w:b/>
          <w:sz w:val="23"/>
          <w:szCs w:val="23"/>
        </w:rPr>
      </w:pPr>
    </w:p>
    <w:tbl>
      <w:tblPr>
        <w:tblW w:w="14860" w:type="dxa"/>
        <w:tblInd w:w="274" w:type="dxa"/>
        <w:tblLayout w:type="fixed"/>
        <w:tblCellMar>
          <w:left w:w="0" w:type="dxa"/>
          <w:right w:w="0" w:type="dxa"/>
        </w:tblCellMar>
        <w:tblLook w:val="04A0" w:firstRow="1" w:lastRow="0" w:firstColumn="1" w:lastColumn="0" w:noHBand="0" w:noVBand="1"/>
      </w:tblPr>
      <w:tblGrid>
        <w:gridCol w:w="567"/>
        <w:gridCol w:w="1417"/>
        <w:gridCol w:w="1418"/>
        <w:gridCol w:w="1134"/>
        <w:gridCol w:w="10324"/>
      </w:tblGrid>
      <w:tr w:rsidR="0006205F" w:rsidRPr="00366C16" w14:paraId="183DF686" w14:textId="77777777" w:rsidTr="00F608D4">
        <w:trPr>
          <w:trHeight w:val="1122"/>
        </w:trPr>
        <w:tc>
          <w:tcPr>
            <w:tcW w:w="567" w:type="dxa"/>
            <w:tcBorders>
              <w:top w:val="single" w:sz="8" w:space="0" w:color="auto"/>
              <w:left w:val="single" w:sz="8" w:space="0" w:color="auto"/>
              <w:right w:val="single" w:sz="8" w:space="0" w:color="auto"/>
            </w:tcBorders>
            <w:tcMar>
              <w:top w:w="0" w:type="dxa"/>
              <w:left w:w="108" w:type="dxa"/>
              <w:bottom w:w="0" w:type="dxa"/>
              <w:right w:w="108" w:type="dxa"/>
            </w:tcMar>
            <w:vAlign w:val="center"/>
            <w:hideMark/>
          </w:tcPr>
          <w:p w14:paraId="4B414A06" w14:textId="77777777" w:rsidR="0006205F" w:rsidRPr="00366C16" w:rsidRDefault="0006205F" w:rsidP="00F608D4">
            <w:pPr>
              <w:spacing w:after="0" w:line="240" w:lineRule="auto"/>
              <w:jc w:val="center"/>
              <w:rPr>
                <w:rFonts w:ascii="Times New Roman" w:eastAsia="Times New Roman" w:hAnsi="Times New Roman"/>
                <w:b/>
                <w:bCs/>
                <w:lang w:eastAsia="lt-LT"/>
              </w:rPr>
            </w:pPr>
            <w:r w:rsidRPr="00366C16">
              <w:rPr>
                <w:rFonts w:ascii="Times New Roman" w:eastAsia="Times New Roman" w:hAnsi="Times New Roman"/>
                <w:b/>
                <w:bCs/>
                <w:lang w:eastAsia="lt-LT"/>
              </w:rPr>
              <w:t>Eil. Nr.</w:t>
            </w:r>
          </w:p>
        </w:tc>
        <w:tc>
          <w:tcPr>
            <w:tcW w:w="1417" w:type="dxa"/>
            <w:tcBorders>
              <w:top w:val="single" w:sz="8" w:space="0" w:color="auto"/>
              <w:left w:val="nil"/>
              <w:right w:val="single" w:sz="8" w:space="0" w:color="auto"/>
            </w:tcBorders>
            <w:tcMar>
              <w:top w:w="0" w:type="dxa"/>
              <w:left w:w="108" w:type="dxa"/>
              <w:bottom w:w="0" w:type="dxa"/>
              <w:right w:w="108" w:type="dxa"/>
            </w:tcMar>
            <w:vAlign w:val="center"/>
            <w:hideMark/>
          </w:tcPr>
          <w:p w14:paraId="22C1B341" w14:textId="77777777" w:rsidR="0006205F" w:rsidRPr="00366C16" w:rsidRDefault="0006205F" w:rsidP="00F608D4">
            <w:pPr>
              <w:spacing w:after="0" w:line="240" w:lineRule="auto"/>
              <w:jc w:val="center"/>
              <w:rPr>
                <w:rFonts w:ascii="Times New Roman" w:eastAsia="Times New Roman" w:hAnsi="Times New Roman"/>
                <w:b/>
                <w:lang w:eastAsia="lt-LT"/>
              </w:rPr>
            </w:pPr>
            <w:r w:rsidRPr="00366C16">
              <w:rPr>
                <w:rFonts w:ascii="Times New Roman" w:eastAsia="Times New Roman" w:hAnsi="Times New Roman"/>
                <w:b/>
                <w:lang w:eastAsia="lt-LT"/>
              </w:rPr>
              <w:t>Paraiškos registracijos Nr.</w:t>
            </w:r>
          </w:p>
        </w:tc>
        <w:tc>
          <w:tcPr>
            <w:tcW w:w="1418" w:type="dxa"/>
            <w:tcBorders>
              <w:top w:val="single" w:sz="8" w:space="0" w:color="auto"/>
              <w:left w:val="nil"/>
              <w:right w:val="single" w:sz="8" w:space="0" w:color="auto"/>
            </w:tcBorders>
            <w:tcMar>
              <w:top w:w="0" w:type="dxa"/>
              <w:left w:w="108" w:type="dxa"/>
              <w:bottom w:w="0" w:type="dxa"/>
              <w:right w:w="108" w:type="dxa"/>
            </w:tcMar>
            <w:vAlign w:val="center"/>
            <w:hideMark/>
          </w:tcPr>
          <w:p w14:paraId="7C068DBD" w14:textId="77777777" w:rsidR="0006205F" w:rsidRPr="00366C16" w:rsidRDefault="0006205F" w:rsidP="00F608D4">
            <w:pPr>
              <w:spacing w:after="0" w:line="240" w:lineRule="auto"/>
              <w:jc w:val="center"/>
              <w:rPr>
                <w:rFonts w:ascii="Times New Roman" w:eastAsia="Times New Roman" w:hAnsi="Times New Roman"/>
                <w:b/>
                <w:bCs/>
                <w:lang w:eastAsia="lt-LT"/>
              </w:rPr>
            </w:pPr>
            <w:r w:rsidRPr="00366C16">
              <w:rPr>
                <w:rFonts w:ascii="Times New Roman" w:eastAsia="Times New Roman" w:hAnsi="Times New Roman"/>
                <w:b/>
                <w:bCs/>
                <w:lang w:eastAsia="lt-LT"/>
              </w:rPr>
              <w:t>Pareiškėjo pavadinimas</w:t>
            </w:r>
          </w:p>
        </w:tc>
        <w:tc>
          <w:tcPr>
            <w:tcW w:w="1134" w:type="dxa"/>
            <w:tcBorders>
              <w:top w:val="single" w:sz="8" w:space="0" w:color="auto"/>
              <w:left w:val="nil"/>
              <w:right w:val="single" w:sz="8" w:space="0" w:color="auto"/>
            </w:tcBorders>
            <w:tcMar>
              <w:top w:w="0" w:type="dxa"/>
              <w:left w:w="108" w:type="dxa"/>
              <w:bottom w:w="0" w:type="dxa"/>
              <w:right w:w="108" w:type="dxa"/>
            </w:tcMar>
            <w:vAlign w:val="center"/>
            <w:hideMark/>
          </w:tcPr>
          <w:p w14:paraId="227896A7" w14:textId="77777777" w:rsidR="0006205F" w:rsidRPr="00366C16" w:rsidRDefault="0006205F" w:rsidP="00F608D4">
            <w:pPr>
              <w:spacing w:after="0" w:line="240" w:lineRule="auto"/>
              <w:jc w:val="center"/>
              <w:rPr>
                <w:rFonts w:ascii="Times New Roman" w:eastAsia="Times New Roman" w:hAnsi="Times New Roman"/>
                <w:b/>
                <w:lang w:eastAsia="lt-LT"/>
              </w:rPr>
            </w:pPr>
            <w:r w:rsidRPr="00366C16">
              <w:rPr>
                <w:rFonts w:ascii="Times New Roman" w:eastAsia="Times New Roman" w:hAnsi="Times New Roman"/>
                <w:b/>
                <w:lang w:eastAsia="lt-LT"/>
              </w:rPr>
              <w:t>Prašomos paramos suma, Eur</w:t>
            </w:r>
          </w:p>
        </w:tc>
        <w:tc>
          <w:tcPr>
            <w:tcW w:w="10324" w:type="dxa"/>
            <w:tcBorders>
              <w:top w:val="single" w:sz="8" w:space="0" w:color="auto"/>
              <w:left w:val="nil"/>
              <w:right w:val="single" w:sz="8" w:space="0" w:color="auto"/>
            </w:tcBorders>
            <w:vAlign w:val="center"/>
          </w:tcPr>
          <w:p w14:paraId="07385C6A" w14:textId="77777777" w:rsidR="0006205F" w:rsidRPr="00366C16" w:rsidRDefault="0006205F" w:rsidP="00F608D4">
            <w:pPr>
              <w:spacing w:after="0" w:line="240" w:lineRule="auto"/>
              <w:jc w:val="center"/>
              <w:rPr>
                <w:rFonts w:ascii="Times New Roman" w:eastAsia="Times New Roman" w:hAnsi="Times New Roman"/>
                <w:b/>
                <w:bCs/>
                <w:lang w:eastAsia="lt-LT"/>
              </w:rPr>
            </w:pPr>
            <w:r w:rsidRPr="00366C16">
              <w:rPr>
                <w:rFonts w:ascii="Times New Roman" w:eastAsia="Times New Roman" w:hAnsi="Times New Roman"/>
                <w:b/>
                <w:bCs/>
                <w:lang w:eastAsia="lt-LT"/>
              </w:rPr>
              <w:t>Paramos neskyrimo priežastis</w:t>
            </w:r>
          </w:p>
        </w:tc>
      </w:tr>
      <w:tr w:rsidR="0006205F" w:rsidRPr="00366C16" w14:paraId="34032239" w14:textId="77777777" w:rsidTr="00F608D4">
        <w:trPr>
          <w:trHeight w:val="327"/>
        </w:trPr>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272602" w14:textId="77777777" w:rsidR="0006205F" w:rsidRPr="00366C16" w:rsidRDefault="0006205F" w:rsidP="00F608D4">
            <w:pPr>
              <w:spacing w:after="0" w:line="240" w:lineRule="auto"/>
              <w:jc w:val="center"/>
              <w:rPr>
                <w:rFonts w:ascii="Times New Roman" w:eastAsia="Times New Roman" w:hAnsi="Times New Roman"/>
                <w:b/>
                <w:lang w:eastAsia="lt-LT"/>
              </w:rPr>
            </w:pPr>
            <w:r w:rsidRPr="00366C16">
              <w:rPr>
                <w:rFonts w:ascii="Times New Roman" w:eastAsia="Times New Roman" w:hAnsi="Times New Roman"/>
                <w:b/>
                <w:lang w:eastAsia="lt-LT"/>
              </w:rPr>
              <w:t>1</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E9DE77" w14:textId="77777777" w:rsidR="0006205F" w:rsidRPr="00366C16" w:rsidRDefault="0006205F" w:rsidP="00F608D4">
            <w:pPr>
              <w:spacing w:after="0" w:line="240" w:lineRule="auto"/>
              <w:jc w:val="center"/>
              <w:rPr>
                <w:rFonts w:ascii="Times New Roman" w:eastAsia="Times New Roman" w:hAnsi="Times New Roman"/>
                <w:b/>
                <w:lang w:eastAsia="lt-LT"/>
              </w:rPr>
            </w:pPr>
            <w:r w:rsidRPr="00366C16">
              <w:rPr>
                <w:rFonts w:ascii="Times New Roman" w:eastAsia="Times New Roman" w:hAnsi="Times New Roman"/>
                <w:b/>
                <w:lang w:eastAsia="lt-LT"/>
              </w:rPr>
              <w:t>2</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083680" w14:textId="77777777" w:rsidR="0006205F" w:rsidRPr="00366C16" w:rsidRDefault="0006205F" w:rsidP="00F608D4">
            <w:pPr>
              <w:spacing w:after="0" w:line="240" w:lineRule="auto"/>
              <w:jc w:val="center"/>
              <w:rPr>
                <w:rFonts w:ascii="Times New Roman" w:eastAsia="Times New Roman" w:hAnsi="Times New Roman"/>
                <w:b/>
                <w:lang w:eastAsia="lt-LT"/>
              </w:rPr>
            </w:pPr>
            <w:r w:rsidRPr="00366C16">
              <w:rPr>
                <w:rFonts w:ascii="Times New Roman" w:eastAsia="Times New Roman" w:hAnsi="Times New Roman"/>
                <w:b/>
                <w:lang w:eastAsia="lt-LT"/>
              </w:rPr>
              <w:t>3</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1F99FA" w14:textId="77777777" w:rsidR="0006205F" w:rsidRPr="00366C16" w:rsidRDefault="0006205F" w:rsidP="00F608D4">
            <w:pPr>
              <w:spacing w:after="0" w:line="240" w:lineRule="auto"/>
              <w:jc w:val="center"/>
              <w:rPr>
                <w:rFonts w:ascii="Times New Roman" w:eastAsia="Times New Roman" w:hAnsi="Times New Roman"/>
                <w:b/>
                <w:lang w:eastAsia="lt-LT"/>
              </w:rPr>
            </w:pPr>
            <w:r w:rsidRPr="00366C16">
              <w:rPr>
                <w:rFonts w:ascii="Times New Roman" w:eastAsia="Times New Roman" w:hAnsi="Times New Roman"/>
                <w:b/>
                <w:lang w:eastAsia="lt-LT"/>
              </w:rPr>
              <w:t>4</w:t>
            </w:r>
          </w:p>
        </w:tc>
        <w:tc>
          <w:tcPr>
            <w:tcW w:w="10324" w:type="dxa"/>
            <w:tcBorders>
              <w:top w:val="single" w:sz="8" w:space="0" w:color="auto"/>
              <w:left w:val="nil"/>
              <w:bottom w:val="single" w:sz="8" w:space="0" w:color="auto"/>
              <w:right w:val="single" w:sz="8" w:space="0" w:color="auto"/>
            </w:tcBorders>
          </w:tcPr>
          <w:p w14:paraId="6862DE9D" w14:textId="77777777" w:rsidR="0006205F" w:rsidRPr="00366C16" w:rsidRDefault="0006205F" w:rsidP="00F608D4">
            <w:pPr>
              <w:spacing w:after="0" w:line="240" w:lineRule="auto"/>
              <w:jc w:val="center"/>
              <w:rPr>
                <w:rFonts w:ascii="Times New Roman" w:eastAsia="Times New Roman" w:hAnsi="Times New Roman"/>
                <w:b/>
                <w:lang w:eastAsia="lt-LT"/>
              </w:rPr>
            </w:pPr>
            <w:r w:rsidRPr="00366C16">
              <w:rPr>
                <w:rFonts w:ascii="Times New Roman" w:eastAsia="Times New Roman" w:hAnsi="Times New Roman"/>
                <w:b/>
                <w:lang w:eastAsia="lt-LT"/>
              </w:rPr>
              <w:t>5</w:t>
            </w:r>
          </w:p>
        </w:tc>
      </w:tr>
      <w:tr w:rsidR="0006205F" w:rsidRPr="00366C16" w14:paraId="5406610C" w14:textId="77777777" w:rsidTr="00F608D4">
        <w:trPr>
          <w:trHeight w:val="524"/>
        </w:trPr>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44C1D7" w14:textId="77777777" w:rsidR="0006205F" w:rsidRPr="00366C16" w:rsidRDefault="0006205F" w:rsidP="00F608D4">
            <w:pPr>
              <w:spacing w:after="0" w:line="240" w:lineRule="auto"/>
              <w:rPr>
                <w:rFonts w:ascii="Times New Roman" w:eastAsia="Times New Roman" w:hAnsi="Times New Roman"/>
                <w:lang w:eastAsia="lt-LT"/>
              </w:rPr>
            </w:pPr>
            <w:r w:rsidRPr="00366C16">
              <w:rPr>
                <w:rFonts w:ascii="Times New Roman" w:eastAsia="Times New Roman" w:hAnsi="Times New Roman"/>
                <w:lang w:eastAsia="lt-LT"/>
              </w:rPr>
              <w:t>1.</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3CD4CD8" w14:textId="4D9F46FF" w:rsidR="0006205F" w:rsidRPr="00366C16" w:rsidRDefault="003D2715" w:rsidP="00BC4470">
            <w:pPr>
              <w:spacing w:after="0" w:line="240" w:lineRule="auto"/>
              <w:rPr>
                <w:rFonts w:ascii="Times New Roman" w:hAnsi="Times New Roman"/>
              </w:rPr>
            </w:pPr>
            <w:r w:rsidRPr="00366C16">
              <w:rPr>
                <w:rFonts w:ascii="Times New Roman" w:hAnsi="Times New Roman"/>
              </w:rPr>
              <w:t>48IA-KS-17-1-01819-PR001</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609B823" w14:textId="3A4C8FFB" w:rsidR="0006205F" w:rsidRPr="00366C16" w:rsidRDefault="003D2715" w:rsidP="00F608D4">
            <w:pPr>
              <w:spacing w:after="0"/>
              <w:rPr>
                <w:rFonts w:ascii="Times New Roman" w:hAnsi="Times New Roman"/>
              </w:rPr>
            </w:pPr>
            <w:r w:rsidRPr="00366C16">
              <w:rPr>
                <w:rFonts w:ascii="Times New Roman" w:hAnsi="Times New Roman"/>
                <w:bCs/>
              </w:rPr>
              <w:t>UAB „Akmenės žuvys“</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DE9DD00" w14:textId="738ED582" w:rsidR="0006205F" w:rsidRPr="00366C16" w:rsidRDefault="003D2715" w:rsidP="00F608D4">
            <w:pPr>
              <w:spacing w:after="0" w:line="240" w:lineRule="auto"/>
              <w:jc w:val="center"/>
              <w:rPr>
                <w:rFonts w:ascii="Times New Roman" w:hAnsi="Times New Roman"/>
              </w:rPr>
            </w:pPr>
            <w:r w:rsidRPr="00366C16">
              <w:rPr>
                <w:rFonts w:ascii="Times New Roman" w:eastAsia="Times New Roman" w:hAnsi="Times New Roman"/>
                <w:lang w:eastAsia="lt-LT"/>
              </w:rPr>
              <w:t>165 004</w:t>
            </w:r>
          </w:p>
        </w:tc>
        <w:tc>
          <w:tcPr>
            <w:tcW w:w="10324" w:type="dxa"/>
            <w:tcBorders>
              <w:top w:val="single" w:sz="8" w:space="0" w:color="auto"/>
              <w:left w:val="nil"/>
              <w:bottom w:val="single" w:sz="8" w:space="0" w:color="auto"/>
              <w:right w:val="single" w:sz="8" w:space="0" w:color="auto"/>
            </w:tcBorders>
          </w:tcPr>
          <w:p w14:paraId="4A4A3E0C" w14:textId="77777777" w:rsidR="003D2715" w:rsidRPr="003D2715" w:rsidRDefault="003D2715" w:rsidP="003D2715">
            <w:pPr>
              <w:spacing w:after="0" w:line="240" w:lineRule="auto"/>
              <w:jc w:val="both"/>
              <w:rPr>
                <w:rFonts w:ascii="Times New Roman" w:hAnsi="Times New Roman"/>
                <w:sz w:val="23"/>
                <w:szCs w:val="23"/>
              </w:rPr>
            </w:pPr>
            <w:r w:rsidRPr="003D2715">
              <w:rPr>
                <w:rFonts w:ascii="Times New Roman" w:hAnsi="Times New Roman"/>
                <w:sz w:val="23"/>
                <w:szCs w:val="23"/>
              </w:rPr>
              <w:t xml:space="preserve">UAB „Akmenės žuvys” (toliau – Pareiškėja) projektas „UAB „Akmenės žuvys”  aplinkosaugos požiūriu tvarios, efektyviai išteklius naudojančios, inovacinės, konkurencingos ir žiniomis grindžiamos akvakultūros skatinimas“ (toliau – Projektas), (paraiška pateikta 2017 m. liepos 14 d., registracijos Nr. 48IA-KS-17-1-01819-PR001 (toliau – Paraiška)) yra netinkamas gauti ES paramą, nes neatitinka </w:t>
            </w:r>
            <w:r w:rsidRPr="003D2715">
              <w:rPr>
                <w:rFonts w:ascii="Times New Roman" w:hAnsi="Times New Roman"/>
                <w:color w:val="000000"/>
                <w:sz w:val="23"/>
                <w:szCs w:val="23"/>
              </w:rPr>
              <w:t xml:space="preserve">Lietuvos žuvininkystės sektoriaus 2014–2020 metų veiksmų programos antrojo </w:t>
            </w:r>
            <w:r w:rsidRPr="003D2715">
              <w:rPr>
                <w:rFonts w:ascii="Times New Roman" w:hAnsi="Times New Roman"/>
                <w:sz w:val="23"/>
                <w:szCs w:val="23"/>
              </w:rPr>
              <w:t xml:space="preserve">Sąjungos prioriteto „Aplinkosaugos požiūriu tvarios, efektyviai išteklius naudojančios, inovacinės, konkurencingos ir žiniomis grindžiamos akvakultūros skatinimas” priemonės „Produktyvios investicijos į akvakultūrą” </w:t>
            </w:r>
            <w:r w:rsidRPr="003D2715">
              <w:rPr>
                <w:rFonts w:ascii="Times New Roman" w:hAnsi="Times New Roman"/>
                <w:color w:val="000000"/>
                <w:sz w:val="23"/>
                <w:szCs w:val="23"/>
              </w:rPr>
              <w:t xml:space="preserve">įgyvendinimo taisyklių, patvirtintų Lietuvos Respublikos žemės ūkio ministro 2016 m. sausio 28 d. įsakymu Nr. 3D-36 „Dėl Lietuvos žuvininkystės sektoriaus 2014–2020 metų veiksmų programos antrojo </w:t>
            </w:r>
            <w:r w:rsidRPr="003D2715">
              <w:rPr>
                <w:rFonts w:ascii="Times New Roman" w:hAnsi="Times New Roman"/>
                <w:sz w:val="23"/>
                <w:szCs w:val="23"/>
              </w:rPr>
              <w:t xml:space="preserve">Sąjungos prioriteto „Aplinkosaugos požiūriu tvarios, efektyviai išteklius naudojančios, inovacinės, konkurencingos ir žiniomis grindžiamos akvakultūros skatinimas” priemonės „Produktyvios investicijos į akvakultūrą” </w:t>
            </w:r>
            <w:r w:rsidRPr="003D2715">
              <w:rPr>
                <w:rFonts w:ascii="Times New Roman" w:hAnsi="Times New Roman"/>
                <w:color w:val="000000"/>
                <w:sz w:val="23"/>
                <w:szCs w:val="23"/>
              </w:rPr>
              <w:t xml:space="preserve">įgyvendinimo taisyklių patvirtinimo” </w:t>
            </w:r>
            <w:r w:rsidRPr="003D2715">
              <w:rPr>
                <w:rFonts w:ascii="Times New Roman" w:hAnsi="Times New Roman"/>
                <w:sz w:val="23"/>
                <w:szCs w:val="23"/>
              </w:rPr>
              <w:t>(toliau – Taisyklės) 22 ir 26 punktuose nustatytų tinkamumo kriterijų paramai gauti.</w:t>
            </w:r>
          </w:p>
          <w:p w14:paraId="01F613E2" w14:textId="77777777" w:rsidR="003D2715" w:rsidRPr="003D2715" w:rsidRDefault="003D2715" w:rsidP="003D2715">
            <w:pPr>
              <w:spacing w:after="0" w:line="240" w:lineRule="auto"/>
              <w:jc w:val="both"/>
              <w:rPr>
                <w:rFonts w:ascii="Times New Roman" w:hAnsi="Times New Roman"/>
                <w:sz w:val="23"/>
                <w:szCs w:val="23"/>
              </w:rPr>
            </w:pPr>
            <w:r w:rsidRPr="003D2715">
              <w:rPr>
                <w:rFonts w:ascii="Times New Roman" w:hAnsi="Times New Roman"/>
                <w:sz w:val="23"/>
                <w:szCs w:val="23"/>
              </w:rPr>
              <w:t xml:space="preserve">        1.  Taisyklių 22 punkte nurodyta, jog pareiškėjas turi užtikrinti tinkamą projekto finansavimo šaltinį – skolintas lėšas, paramos lėšas, iš veiklos gautinas lėšas, nuosavas lėšas – kuris turi būti pagrįstas verslo plano, finansinių ataskaitų duomenimis. Skolintos lėšos pagrindžiamos kartu su paramos paraiška, pateikiant kredito įstaigos paskolos suteikimo galimybės patvirtinimo dokumentus. Paskolos ar išperkamosios nuomos/lizingo (finansinės nuomos) sutartis turi būti pateikta tada, kai pareiškėjas turi užtikrinti projekto išlaidų/investicijų finansavimą, t. y. paskolos ar išperkamosios nuomos/lizingo (finansinės nuomos) sutartis pateikiama su tuo mokėjimo prašymu, kuriuo yra prašoma apmokėti patirtas išlaidas/investicijas, panaudojant skolintas lėšas. Agentūra neatsako už kreditoriaus turimų lėšų patikimumą, realumą, prievolių vykdymą Lietuvos Respublikos teisės aktų nustatyta tvarka bei už kreditoriaus ir paskolos gavėjo įsipareigojimų nevykdymą.</w:t>
            </w:r>
          </w:p>
          <w:p w14:paraId="58658756" w14:textId="77777777" w:rsidR="003D2715" w:rsidRPr="003D2715" w:rsidRDefault="003D2715" w:rsidP="003D2715">
            <w:pPr>
              <w:spacing w:after="0" w:line="240" w:lineRule="auto"/>
              <w:jc w:val="both"/>
              <w:rPr>
                <w:rFonts w:ascii="Times New Roman" w:hAnsi="Times New Roman"/>
                <w:sz w:val="23"/>
                <w:szCs w:val="23"/>
              </w:rPr>
            </w:pPr>
            <w:r w:rsidRPr="003D2715">
              <w:rPr>
                <w:rFonts w:ascii="Times New Roman" w:hAnsi="Times New Roman"/>
                <w:sz w:val="23"/>
                <w:szCs w:val="23"/>
              </w:rPr>
              <w:t xml:space="preserve">        Taisyklių 67 punkte numatyta, kad priemonei taikomas paramos lėšų išmokėjimo būdas – išlaidų kompensavimas </w:t>
            </w:r>
            <w:r w:rsidRPr="003D2715">
              <w:rPr>
                <w:rFonts w:ascii="Times New Roman" w:hAnsi="Times New Roman"/>
                <w:color w:val="000000"/>
                <w:sz w:val="23"/>
                <w:szCs w:val="23"/>
                <w:shd w:val="clear" w:color="auto" w:fill="FFFFFF"/>
              </w:rPr>
              <w:t xml:space="preserve">Lietuvos žuvininkystės sektoriaus 2014–2020 metų veiksmų programos administravimo </w:t>
            </w:r>
            <w:r w:rsidRPr="003D2715">
              <w:rPr>
                <w:rFonts w:ascii="Times New Roman" w:hAnsi="Times New Roman"/>
                <w:color w:val="000000"/>
                <w:sz w:val="23"/>
                <w:szCs w:val="23"/>
                <w:shd w:val="clear" w:color="auto" w:fill="FFFFFF"/>
              </w:rPr>
              <w:lastRenderedPageBreak/>
              <w:t xml:space="preserve">taisyklių, patvirtintų </w:t>
            </w:r>
            <w:r w:rsidRPr="003D2715">
              <w:rPr>
                <w:rFonts w:ascii="Times New Roman" w:hAnsi="Times New Roman"/>
                <w:color w:val="000000"/>
                <w:sz w:val="23"/>
                <w:szCs w:val="23"/>
              </w:rPr>
              <w:t xml:space="preserve">Lietuvos Respublikos žemės ūkio ministro 2015 m. vasario 9 d. įsakymu Nr. 3D-75 „Dėl </w:t>
            </w:r>
            <w:r w:rsidRPr="003D2715">
              <w:rPr>
                <w:rFonts w:ascii="Times New Roman" w:hAnsi="Times New Roman"/>
                <w:color w:val="000000"/>
                <w:sz w:val="23"/>
                <w:szCs w:val="23"/>
                <w:shd w:val="clear" w:color="auto" w:fill="FFFFFF"/>
              </w:rPr>
              <w:t xml:space="preserve">Lietuvos žuvininkystės sektoriaus 2014–2020 metų veiksmų programos administravimo taisyklių, patvirtinimo” (toliau – </w:t>
            </w:r>
            <w:r w:rsidRPr="003D2715">
              <w:rPr>
                <w:rFonts w:ascii="Times New Roman" w:hAnsi="Times New Roman"/>
                <w:sz w:val="23"/>
                <w:szCs w:val="23"/>
              </w:rPr>
              <w:t xml:space="preserve">Administravimo taisyklės) nustatyta tvarka. </w:t>
            </w:r>
          </w:p>
          <w:p w14:paraId="4A05DDF6" w14:textId="77777777" w:rsidR="003D2715" w:rsidRPr="003D2715" w:rsidRDefault="003D2715" w:rsidP="003D2715">
            <w:pPr>
              <w:spacing w:after="0" w:line="240" w:lineRule="auto"/>
              <w:jc w:val="both"/>
              <w:rPr>
                <w:rFonts w:ascii="Times New Roman" w:hAnsi="Times New Roman"/>
                <w:sz w:val="23"/>
                <w:szCs w:val="23"/>
              </w:rPr>
            </w:pPr>
            <w:r w:rsidRPr="003D2715">
              <w:rPr>
                <w:rFonts w:ascii="Times New Roman" w:hAnsi="Times New Roman"/>
                <w:sz w:val="23"/>
                <w:szCs w:val="23"/>
              </w:rPr>
              <w:t xml:space="preserve">        </w:t>
            </w:r>
            <w:r w:rsidRPr="003D2715">
              <w:rPr>
                <w:rFonts w:ascii="Times New Roman" w:hAnsi="Times New Roman"/>
                <w:color w:val="000000"/>
                <w:sz w:val="23"/>
                <w:szCs w:val="23"/>
                <w:shd w:val="clear" w:color="auto" w:fill="FFFFFF"/>
              </w:rPr>
              <w:t xml:space="preserve">Administravimo taisyklių </w:t>
            </w:r>
            <w:r w:rsidRPr="003D2715">
              <w:rPr>
                <w:rFonts w:ascii="Times New Roman" w:hAnsi="Times New Roman"/>
                <w:sz w:val="23"/>
                <w:szCs w:val="23"/>
              </w:rPr>
              <w:t>137.1 papunktyje numatyta, kad paramos gavėjas pradeda įgyvendinti projektą iš nuosavų lėšų ir (arba) skolintų lėšų ir teikia Agentūrai mokėjimo prašymus Taisyklėse nustatyta tvarka, kuriuose deklaruoja projekto įgyvendinimo metu patirtas ir apmokėtas išlaidas, pridėdamas išlaidų pagrindimo ir išlaidų apmokėjimo įrodymo dokumentus. Paramos gavėjui pervestos paramos lėšos pripažįstamos EK tinkamomis deklaruoti išlaidomis.</w:t>
            </w:r>
          </w:p>
          <w:p w14:paraId="5E21108A" w14:textId="77777777" w:rsidR="003D2715" w:rsidRPr="003D2715" w:rsidRDefault="003D2715" w:rsidP="003D2715">
            <w:pPr>
              <w:spacing w:after="0" w:line="240" w:lineRule="auto"/>
              <w:ind w:firstLine="449"/>
              <w:jc w:val="both"/>
              <w:textAlignment w:val="center"/>
              <w:rPr>
                <w:rFonts w:ascii="Times New Roman" w:hAnsi="Times New Roman"/>
                <w:color w:val="000000"/>
                <w:sz w:val="23"/>
                <w:szCs w:val="23"/>
              </w:rPr>
            </w:pPr>
            <w:r w:rsidRPr="003D2715">
              <w:rPr>
                <w:rFonts w:ascii="Times New Roman" w:hAnsi="Times New Roman"/>
                <w:color w:val="000000"/>
                <w:sz w:val="23"/>
                <w:szCs w:val="23"/>
              </w:rPr>
              <w:t xml:space="preserve">Pareiškėja paraiškos II skyriuje „Informacija apie projektą, kuriam prašoma paramos” nurodė, kad planuojama projektą pradėti įgyvendinti 2018 m. vasario mėn. ir projektą įgyvendinti iki 2019 m. lapkričio mėn. ir bei nurodė, jog prašoma paramos suma yra 165 004 Eur. Taip pat paraiškoje nurodėte, kad projektą finansuos paramos lėšomis (165 004 Eur) ir nurodė, jog planuojate projektą įgyvendinti 4 etapais, tačiau paraiškos V skyriuje „Projekto finansavimo šaltiniai”  ir  verslo plane nenurodė, kokias konkrečiai investicijas planuoja įsigyti kiekviename etape, už kurias gauta parama bus naudojama antrajam ir (arba) n-tajam projekto etapui, finansuoti. </w:t>
            </w:r>
          </w:p>
          <w:p w14:paraId="358466BC" w14:textId="77777777" w:rsidR="003D2715" w:rsidRPr="003D2715" w:rsidRDefault="003D2715" w:rsidP="003D2715">
            <w:pPr>
              <w:spacing w:after="0" w:line="240" w:lineRule="auto"/>
              <w:jc w:val="both"/>
              <w:textAlignment w:val="center"/>
              <w:rPr>
                <w:rFonts w:ascii="Times New Roman" w:hAnsi="Times New Roman"/>
                <w:color w:val="000000"/>
                <w:sz w:val="23"/>
                <w:szCs w:val="23"/>
              </w:rPr>
            </w:pPr>
            <w:r w:rsidRPr="003D2715">
              <w:rPr>
                <w:rFonts w:ascii="Times New Roman" w:hAnsi="Times New Roman"/>
                <w:color w:val="000000"/>
                <w:sz w:val="23"/>
                <w:szCs w:val="23"/>
              </w:rPr>
              <w:t xml:space="preserve">        Atsižvelgiant į tai, jog paraiškoje Pareiškėja nurodė, jog projektą finansuos visa paramos suma (165 004 Eur) ir, kad paraiškoje ir verslo plane nepateikė detalios informacijos apie kiekviename etape įsigyjamų investicijas bei į tai, kad šiai Priemonei yra taikomas išlaidų kompensavimo mokėjimo būdas, </w:t>
            </w:r>
            <w:proofErr w:type="spellStart"/>
            <w:r w:rsidRPr="003D2715">
              <w:rPr>
                <w:rFonts w:ascii="Times New Roman" w:hAnsi="Times New Roman"/>
                <w:color w:val="000000"/>
                <w:sz w:val="23"/>
                <w:szCs w:val="23"/>
              </w:rPr>
              <w:t>t.y</w:t>
            </w:r>
            <w:proofErr w:type="spellEnd"/>
            <w:r w:rsidRPr="003D2715">
              <w:rPr>
                <w:rFonts w:ascii="Times New Roman" w:hAnsi="Times New Roman"/>
                <w:color w:val="000000"/>
                <w:sz w:val="23"/>
                <w:szCs w:val="23"/>
              </w:rPr>
              <w:t xml:space="preserve">., paramos gavėjas pradeda įgyvendinti projektą savo ir (arba) skolintomis lėšomis ir Agentūrai teikia mokėjimo prašymus, kuriuose deklaruoja patirtas ir apmokėtas išlaidas, pridėdamas išlaidų pagrindimo ir apmokėjimo įrodymo dokumentus, </w:t>
            </w:r>
            <w:r w:rsidRPr="003D2715">
              <w:rPr>
                <w:rFonts w:ascii="Times New Roman" w:hAnsi="Times New Roman"/>
                <w:sz w:val="23"/>
                <w:szCs w:val="23"/>
              </w:rPr>
              <w:t xml:space="preserve">Pareiškėjai, vadovaujantis Administravimo taisyklių 71 punktu, kuriame įtvirtinta, jog iškilus klausimams, susijusiems su paramos paraiškos vertinimu ir (arba) projekto vykdymu ar pareiškėjo veikla, pareiškėjo gali būti paprašyta pateikti papildomų dokumentų, 2017 m. rugpjūčio 17 d. buvo išsiųstas paklausimas dėl reikiamų dokumentų pateikimo/duomenų tikslinimo Nr. BR6-8428 (toliau – Paklausimas Nr.1), prašant </w:t>
            </w:r>
            <w:r w:rsidRPr="003D2715">
              <w:rPr>
                <w:rFonts w:ascii="Times New Roman" w:hAnsi="Times New Roman"/>
                <w:color w:val="000000"/>
                <w:sz w:val="23"/>
                <w:szCs w:val="23"/>
              </w:rPr>
              <w:t xml:space="preserve">patikslinti informaciją Paraiškoje ir verslo plane, nurodant kiek planuoja pateikti mokėjimo prašymų (ne daugiau kaip keturis mokėjimo prašymus) ir kokioms investicijoms, už kurias gauta parama bus naudojama antrajam ir (arba) n-tajam projekto etapui, finansuoti bei pateikti paaiškinimus ir dokumentus užtikrinančius tinkamą projekto finansavimo šaltinį. </w:t>
            </w:r>
          </w:p>
          <w:p w14:paraId="336603A7" w14:textId="77777777" w:rsidR="003D2715" w:rsidRPr="003D2715" w:rsidRDefault="003D2715" w:rsidP="003D2715">
            <w:pPr>
              <w:spacing w:after="0" w:line="240" w:lineRule="auto"/>
              <w:jc w:val="both"/>
              <w:textAlignment w:val="center"/>
              <w:rPr>
                <w:rFonts w:ascii="Times New Roman" w:hAnsi="Times New Roman"/>
                <w:color w:val="000000"/>
                <w:sz w:val="23"/>
                <w:szCs w:val="23"/>
              </w:rPr>
            </w:pPr>
            <w:r w:rsidRPr="003D2715">
              <w:rPr>
                <w:rFonts w:ascii="Times New Roman" w:hAnsi="Times New Roman"/>
                <w:color w:val="000000"/>
                <w:sz w:val="23"/>
                <w:szCs w:val="23"/>
              </w:rPr>
              <w:t xml:space="preserve">        2017 m. rugpjūčio 31 d. Pareiškėja atsakydama į Paklausimą Nr.1(</w:t>
            </w:r>
            <w:proofErr w:type="spellStart"/>
            <w:r w:rsidRPr="003D2715">
              <w:rPr>
                <w:rFonts w:ascii="Times New Roman" w:hAnsi="Times New Roman"/>
                <w:color w:val="000000"/>
                <w:sz w:val="23"/>
                <w:szCs w:val="23"/>
              </w:rPr>
              <w:t>reg</w:t>
            </w:r>
            <w:proofErr w:type="spellEnd"/>
            <w:r w:rsidRPr="003D2715">
              <w:rPr>
                <w:rFonts w:ascii="Times New Roman" w:hAnsi="Times New Roman"/>
                <w:color w:val="000000"/>
                <w:sz w:val="23"/>
                <w:szCs w:val="23"/>
              </w:rPr>
              <w:t>. Nr. BR5.2-11866) nurodė, jog projektą įgyvendins 4 etapais ir  verslo plano VIII skyriaus „Informacija apie investicijas ir finansavimo šaltinius“  1 punkte „Numatomos investicijos, jų vertė, finansavimo šaltinis ir investavimo terminai“ nurodė, jog I-</w:t>
            </w:r>
            <w:proofErr w:type="spellStart"/>
            <w:r w:rsidRPr="003D2715">
              <w:rPr>
                <w:rFonts w:ascii="Times New Roman" w:hAnsi="Times New Roman"/>
                <w:color w:val="000000"/>
                <w:sz w:val="23"/>
                <w:szCs w:val="23"/>
              </w:rPr>
              <w:t>ojo</w:t>
            </w:r>
            <w:proofErr w:type="spellEnd"/>
            <w:r w:rsidRPr="003D2715">
              <w:rPr>
                <w:rFonts w:ascii="Times New Roman" w:hAnsi="Times New Roman"/>
                <w:color w:val="000000"/>
                <w:sz w:val="23"/>
                <w:szCs w:val="23"/>
              </w:rPr>
              <w:t xml:space="preserve"> etapo investicijų  (projekto rengimo išlaidos ( vertė 4 000,00 Eur be PVM) ir viešinimo stendai (vertė 400,00 Eur  be PVM/484,00 Eur su PVM) įsigijimas bus finansuojamas paramos lėšomis (200,00 Eur) bei pareiškėjo lėšomis (4 284,00 Eur) bei, jog III – </w:t>
            </w:r>
            <w:proofErr w:type="spellStart"/>
            <w:r w:rsidRPr="003D2715">
              <w:rPr>
                <w:rFonts w:ascii="Times New Roman" w:hAnsi="Times New Roman"/>
                <w:color w:val="000000"/>
                <w:sz w:val="23"/>
                <w:szCs w:val="23"/>
              </w:rPr>
              <w:t>ojo</w:t>
            </w:r>
            <w:proofErr w:type="spellEnd"/>
            <w:r w:rsidRPr="003D2715">
              <w:rPr>
                <w:rFonts w:ascii="Times New Roman" w:hAnsi="Times New Roman"/>
                <w:color w:val="000000"/>
                <w:sz w:val="23"/>
                <w:szCs w:val="23"/>
              </w:rPr>
              <w:t xml:space="preserve"> etapo investicijų (saulės </w:t>
            </w:r>
            <w:proofErr w:type="spellStart"/>
            <w:r w:rsidRPr="003D2715">
              <w:rPr>
                <w:rFonts w:ascii="Times New Roman" w:hAnsi="Times New Roman"/>
                <w:color w:val="000000"/>
                <w:sz w:val="23"/>
                <w:szCs w:val="23"/>
              </w:rPr>
              <w:t>fotomodulių</w:t>
            </w:r>
            <w:proofErr w:type="spellEnd"/>
            <w:r w:rsidRPr="003D2715">
              <w:rPr>
                <w:rFonts w:ascii="Times New Roman" w:hAnsi="Times New Roman"/>
                <w:color w:val="000000"/>
                <w:sz w:val="23"/>
                <w:szCs w:val="23"/>
              </w:rPr>
              <w:t xml:space="preserve">, biologinio filtro (2 vnt.), biologinio užpildo, siurblių, kompresorių, </w:t>
            </w:r>
            <w:proofErr w:type="spellStart"/>
            <w:r w:rsidRPr="003D2715">
              <w:rPr>
                <w:rFonts w:ascii="Times New Roman" w:hAnsi="Times New Roman"/>
                <w:color w:val="000000"/>
                <w:sz w:val="23"/>
                <w:szCs w:val="23"/>
              </w:rPr>
              <w:t>kanalizacinių</w:t>
            </w:r>
            <w:proofErr w:type="spellEnd"/>
            <w:r w:rsidRPr="003D2715">
              <w:rPr>
                <w:rFonts w:ascii="Times New Roman" w:hAnsi="Times New Roman"/>
                <w:color w:val="000000"/>
                <w:sz w:val="23"/>
                <w:szCs w:val="23"/>
              </w:rPr>
              <w:t xml:space="preserve"> siurblių (2 vnt.), deguonies generatorių (2vnt.), deguonies kolonos, vandens kokybės matavimo įrangos, UV įrenginių, apytakinių siurblių, vandens rezervuarų (19 vnt.) ir cilindrinių talpų) įsigijimas bus finansuojamas paramos lėšomis gautomis už  III – </w:t>
            </w:r>
            <w:proofErr w:type="spellStart"/>
            <w:r w:rsidRPr="003D2715">
              <w:rPr>
                <w:rFonts w:ascii="Times New Roman" w:hAnsi="Times New Roman"/>
                <w:color w:val="000000"/>
                <w:sz w:val="23"/>
                <w:szCs w:val="23"/>
              </w:rPr>
              <w:t>ojo</w:t>
            </w:r>
            <w:proofErr w:type="spellEnd"/>
            <w:r w:rsidRPr="003D2715">
              <w:rPr>
                <w:rFonts w:ascii="Times New Roman" w:hAnsi="Times New Roman"/>
                <w:color w:val="000000"/>
                <w:sz w:val="23"/>
                <w:szCs w:val="23"/>
              </w:rPr>
              <w:t xml:space="preserve"> etapo metu įsigytus mechaninius </w:t>
            </w:r>
            <w:r w:rsidRPr="003D2715">
              <w:rPr>
                <w:rFonts w:ascii="Times New Roman" w:hAnsi="Times New Roman"/>
                <w:color w:val="000000"/>
                <w:sz w:val="23"/>
                <w:szCs w:val="23"/>
              </w:rPr>
              <w:lastRenderedPageBreak/>
              <w:t>filtrus ( paramos suma 7 560,21 Eur) bei paramos lėšomis gautomis už investicijas įsigytas IV –</w:t>
            </w:r>
            <w:proofErr w:type="spellStart"/>
            <w:r w:rsidRPr="003D2715">
              <w:rPr>
                <w:rFonts w:ascii="Times New Roman" w:hAnsi="Times New Roman"/>
                <w:color w:val="000000"/>
                <w:sz w:val="23"/>
                <w:szCs w:val="23"/>
              </w:rPr>
              <w:t>ojo</w:t>
            </w:r>
            <w:proofErr w:type="spellEnd"/>
            <w:r w:rsidRPr="003D2715">
              <w:rPr>
                <w:rFonts w:ascii="Times New Roman" w:hAnsi="Times New Roman"/>
                <w:color w:val="000000"/>
                <w:sz w:val="23"/>
                <w:szCs w:val="23"/>
              </w:rPr>
              <w:t xml:space="preserve"> etapo pradžioje (21 967,08 Eur), kurių nedetalizavo. </w:t>
            </w:r>
          </w:p>
          <w:p w14:paraId="6BA6F0D6" w14:textId="77777777" w:rsidR="003D2715" w:rsidRPr="003D2715" w:rsidRDefault="003D2715" w:rsidP="003D2715">
            <w:pPr>
              <w:spacing w:after="0" w:line="240" w:lineRule="auto"/>
              <w:jc w:val="both"/>
              <w:textAlignment w:val="center"/>
              <w:rPr>
                <w:rFonts w:ascii="Times New Roman" w:hAnsi="Times New Roman"/>
                <w:color w:val="000000"/>
                <w:sz w:val="23"/>
                <w:szCs w:val="23"/>
              </w:rPr>
            </w:pPr>
            <w:r w:rsidRPr="003D2715">
              <w:rPr>
                <w:rFonts w:ascii="Times New Roman" w:hAnsi="Times New Roman"/>
                <w:color w:val="000000"/>
                <w:sz w:val="23"/>
                <w:szCs w:val="23"/>
              </w:rPr>
              <w:t xml:space="preserve">        Taip pat nurodė, kad projektą finansuos projekto vykdymo laikotarpiu iš veiklos gautinomis lėšomis (38 306,61 Eur), tačiau verslo plano V skyriuje „Informacija apie produkcijos gamybą ir pardavimus” nurodė, kad 2017-2018 m. neplanuoja gauti pajamų iš produkcijos pardavimo, 2019 m. iš produkcijos pardavimo planuoja gauti tik 46 000 Eur pajamų bei kartu su atsakymu į Paklausimą pateiktose pelno/nuostolio prognozėse 2017 m.  apskaityta 0 Eur pardavimo pajamų suma bei 4 000 Eur nuostolio suma, 2018 m. apskaityta 0 Eur pardavimo pajamų suma bei 3 566 Eur nuostolio suma, 2019 m. apskaityta 46 000 Eur pardavimo pajamų suma bei 19 761 Eur nuostolio suma, o pinigų srautų prognozėse 2019 m. apskaityta neigiama grynųjų pagrindinės veiklos pinigų srautų suma (- 9 591 Eur). </w:t>
            </w:r>
          </w:p>
          <w:p w14:paraId="7E723368" w14:textId="77777777" w:rsidR="003D2715" w:rsidRPr="003D2715" w:rsidRDefault="003D2715" w:rsidP="003D2715">
            <w:pPr>
              <w:spacing w:after="0" w:line="240" w:lineRule="auto"/>
              <w:jc w:val="both"/>
              <w:textAlignment w:val="center"/>
              <w:rPr>
                <w:rFonts w:ascii="Times New Roman" w:hAnsi="Times New Roman"/>
                <w:color w:val="000000"/>
                <w:sz w:val="23"/>
                <w:szCs w:val="23"/>
              </w:rPr>
            </w:pPr>
            <w:r w:rsidRPr="003D2715">
              <w:rPr>
                <w:rFonts w:ascii="Times New Roman" w:hAnsi="Times New Roman"/>
                <w:color w:val="000000"/>
                <w:sz w:val="23"/>
                <w:szCs w:val="23"/>
              </w:rPr>
              <w:t xml:space="preserve">        Taip pat atsakydama į Paklausimą Nr.1, Pareiškėja verslo plano VIII skyriuje „Informacija apie investicijas ir finansavimo šaltinius” nurodė, jog II-IV etapų investicijas ketina finansuoti paramos lėšomis (165 004,00 Eur) bei pareiškėjo nuosavomis lėšomis (238 022,57 Eur), tačiau Paraiškos VII skyriuje „Projekto finansavimo šaltiniai” nurodyta, jog projektą ketina finansuoti paramos lėšomis (165 004,00 Eur), pareiškėjo lėšomis (38 306,61 Eur) bei paskolos lėšomis (200 000,00 Eur).</w:t>
            </w:r>
          </w:p>
          <w:p w14:paraId="7E2B0BBF" w14:textId="77777777" w:rsidR="003D2715" w:rsidRPr="003D2715" w:rsidRDefault="003D2715" w:rsidP="003D2715">
            <w:pPr>
              <w:spacing w:after="0" w:line="240" w:lineRule="auto"/>
              <w:jc w:val="both"/>
              <w:textAlignment w:val="center"/>
              <w:rPr>
                <w:rFonts w:ascii="Times New Roman" w:hAnsi="Times New Roman"/>
                <w:color w:val="000000"/>
                <w:sz w:val="23"/>
                <w:szCs w:val="23"/>
              </w:rPr>
            </w:pPr>
            <w:r w:rsidRPr="003D2715">
              <w:rPr>
                <w:rFonts w:ascii="Times New Roman" w:hAnsi="Times New Roman"/>
                <w:color w:val="000000"/>
                <w:sz w:val="23"/>
                <w:szCs w:val="23"/>
              </w:rPr>
              <w:t xml:space="preserve">        Atsižvelgiant į tai, jog paraiškoje ir atsakyme į Paklausimą Nr.1 Pareiškėja nurodė prieštaringą informaciją apie projekto finansavimo šaltinius bei į tai, jog Pareiškėja nurodė, jog Projektui finansuoti ketina panaudoti visą paramos sumą, o šiai Priemonei yra taikomas išlaidų kompensavimo mokėjimo būdas, </w:t>
            </w:r>
            <w:proofErr w:type="spellStart"/>
            <w:r w:rsidRPr="003D2715">
              <w:rPr>
                <w:rFonts w:ascii="Times New Roman" w:hAnsi="Times New Roman"/>
                <w:color w:val="000000"/>
                <w:sz w:val="23"/>
                <w:szCs w:val="23"/>
              </w:rPr>
              <w:t>t.y</w:t>
            </w:r>
            <w:proofErr w:type="spellEnd"/>
            <w:r w:rsidRPr="003D2715">
              <w:rPr>
                <w:rFonts w:ascii="Times New Roman" w:hAnsi="Times New Roman"/>
                <w:color w:val="000000"/>
                <w:sz w:val="23"/>
                <w:szCs w:val="23"/>
              </w:rPr>
              <w:t>., paramos gavėjas pradeda įgyvendinti projektą savo ir (arba) skolintomis lėšomis ir Agentūrai teikia mokėjimo prašymus, kuriuose deklaruoja patirtas ir apmokėtas išlaidas, pridėdamas išlaidų pagrindimo ir apmokėjimo įrodymo dokumentus, Paraiškėjai 2017 m. rugsėjo 18 d. buvo išsiųstas</w:t>
            </w:r>
            <w:r w:rsidRPr="003D2715">
              <w:rPr>
                <w:rFonts w:ascii="Times New Roman" w:hAnsi="Times New Roman"/>
                <w:sz w:val="23"/>
                <w:szCs w:val="23"/>
              </w:rPr>
              <w:t xml:space="preserve"> paklausimas dėl reikiamų dokumentų pateikimo/duomenų tikslinimo Nr. BR6-9735 (toliau - Paklausimas Nr. 2), pakartotinai prašant </w:t>
            </w:r>
            <w:r w:rsidRPr="003D2715">
              <w:rPr>
                <w:rFonts w:ascii="Times New Roman" w:hAnsi="Times New Roman"/>
                <w:color w:val="000000"/>
                <w:sz w:val="23"/>
                <w:szCs w:val="23"/>
              </w:rPr>
              <w:t xml:space="preserve">patikslinti informaciją Paraiškoje ir verslo plane, nurodant kiek planuoja pateikti mokėjimo prašymų (ne daugiau kaip keturis mokėjimo prašymus) ir kokioms investicijoms, už kurias gauta parama bus naudojama antrajam ir (arba) n-tajam projekto etapui, finansuoti bei pateikti paaiškinimus ir dokumentus užtikrinančius tinkamą projekto finansavimo šaltinį.  </w:t>
            </w:r>
          </w:p>
          <w:p w14:paraId="546E9F0A" w14:textId="77777777" w:rsidR="003D2715" w:rsidRPr="003D2715" w:rsidRDefault="003D2715" w:rsidP="003D2715">
            <w:pPr>
              <w:spacing w:after="0" w:line="240" w:lineRule="auto"/>
              <w:jc w:val="both"/>
              <w:textAlignment w:val="center"/>
              <w:rPr>
                <w:rFonts w:ascii="Times New Roman" w:hAnsi="Times New Roman"/>
                <w:color w:val="000000"/>
                <w:sz w:val="23"/>
                <w:szCs w:val="23"/>
              </w:rPr>
            </w:pPr>
            <w:r w:rsidRPr="003D2715">
              <w:rPr>
                <w:rFonts w:ascii="Times New Roman" w:hAnsi="Times New Roman"/>
                <w:color w:val="000000"/>
                <w:sz w:val="23"/>
                <w:szCs w:val="23"/>
              </w:rPr>
              <w:t xml:space="preserve">        2017 m. rugsėjo 25 d. Pareiškėja atsakydama į Paklausimą Nr.2 (</w:t>
            </w:r>
            <w:proofErr w:type="spellStart"/>
            <w:r w:rsidRPr="003D2715">
              <w:rPr>
                <w:rFonts w:ascii="Times New Roman" w:hAnsi="Times New Roman"/>
                <w:color w:val="000000"/>
                <w:sz w:val="23"/>
                <w:szCs w:val="23"/>
              </w:rPr>
              <w:t>reg</w:t>
            </w:r>
            <w:proofErr w:type="spellEnd"/>
            <w:r w:rsidRPr="003D2715">
              <w:rPr>
                <w:rFonts w:ascii="Times New Roman" w:hAnsi="Times New Roman"/>
                <w:color w:val="000000"/>
                <w:sz w:val="23"/>
                <w:szCs w:val="23"/>
              </w:rPr>
              <w:t xml:space="preserve">. Nr. BR5.2-12969) nepatikslino prašomos informacijos paraiškos V skyriaus „Projekto finansavimo šaltiniai” lentelėje bei verslo plano VIII skyriuje „Informacija apie investicijas ir finansavimo šaltinius”. </w:t>
            </w:r>
          </w:p>
          <w:p w14:paraId="32D817D4" w14:textId="77777777" w:rsidR="003D2715" w:rsidRPr="003D2715" w:rsidRDefault="003D2715" w:rsidP="003D2715">
            <w:pPr>
              <w:tabs>
                <w:tab w:val="left" w:pos="-540"/>
              </w:tabs>
              <w:spacing w:after="0" w:line="240" w:lineRule="auto"/>
              <w:ind w:firstLine="626"/>
              <w:jc w:val="both"/>
              <w:rPr>
                <w:rFonts w:ascii="Times New Roman" w:hAnsi="Times New Roman"/>
                <w:sz w:val="23"/>
                <w:szCs w:val="23"/>
              </w:rPr>
            </w:pPr>
            <w:r w:rsidRPr="003D2715">
              <w:rPr>
                <w:rFonts w:ascii="Times New Roman" w:hAnsi="Times New Roman"/>
                <w:sz w:val="23"/>
                <w:szCs w:val="23"/>
              </w:rPr>
              <w:t xml:space="preserve">Atsižvelgiant į tai, jog Pareiškėja atsakydama į Paklausimus Nr.1 ir Nr.2 </w:t>
            </w:r>
            <w:r w:rsidRPr="003D2715">
              <w:rPr>
                <w:rFonts w:ascii="Times New Roman" w:hAnsi="Times New Roman"/>
                <w:color w:val="000000"/>
                <w:sz w:val="23"/>
                <w:szCs w:val="23"/>
              </w:rPr>
              <w:t xml:space="preserve">nepatikslino prašomos informacijos paraiškos V skyriaus „Projekto finansavimo šaltiniai“  lentelėje bei verslo plano  VIII skyriuje „Informacija apie investicijas ir finansavimo šaltinius“ ir į tai, jog šiai Priemonei yra taikomas išlaidų kompensavimo mokėjimo būdas, </w:t>
            </w:r>
            <w:proofErr w:type="spellStart"/>
            <w:r w:rsidRPr="003D2715">
              <w:rPr>
                <w:rFonts w:ascii="Times New Roman" w:hAnsi="Times New Roman"/>
                <w:color w:val="000000"/>
                <w:sz w:val="23"/>
                <w:szCs w:val="23"/>
              </w:rPr>
              <w:t>t.y</w:t>
            </w:r>
            <w:proofErr w:type="spellEnd"/>
            <w:r w:rsidRPr="003D2715">
              <w:rPr>
                <w:rFonts w:ascii="Times New Roman" w:hAnsi="Times New Roman"/>
                <w:color w:val="000000"/>
                <w:sz w:val="23"/>
                <w:szCs w:val="23"/>
              </w:rPr>
              <w:t>., paramos gavėjas pradeda įgyvendinti projektą savo ir (arba) skolintomis lėšomis ir Agentūrai teikia mokėjimo prašymus, kuriuose deklaruoja patirtas ir apmokėtas išlaidas, pridėdamas išlaidų pagrindimo ir apmokėjimo įrodymo dokumentus,  Pareiškėja neužtikrino tinkamo finansavimo šaltinio</w:t>
            </w:r>
            <w:r w:rsidRPr="003D2715">
              <w:rPr>
                <w:rFonts w:ascii="Times New Roman" w:hAnsi="Times New Roman"/>
                <w:sz w:val="23"/>
                <w:szCs w:val="23"/>
              </w:rPr>
              <w:t xml:space="preserve"> ir todėl Projektas neatitinka Taisyklių 22 punkte nurodyto tinkamumo kriterijaus paramai gauti.</w:t>
            </w:r>
          </w:p>
          <w:p w14:paraId="2716E7A6" w14:textId="77777777" w:rsidR="003D2715" w:rsidRPr="003D2715" w:rsidRDefault="003D2715" w:rsidP="003D2715">
            <w:pPr>
              <w:spacing w:after="0" w:line="240" w:lineRule="auto"/>
              <w:jc w:val="both"/>
              <w:rPr>
                <w:rFonts w:ascii="Times New Roman" w:hAnsi="Times New Roman"/>
                <w:color w:val="000000"/>
                <w:sz w:val="23"/>
                <w:szCs w:val="23"/>
              </w:rPr>
            </w:pPr>
            <w:r w:rsidRPr="003D2715">
              <w:rPr>
                <w:rFonts w:ascii="Times New Roman" w:hAnsi="Times New Roman"/>
                <w:color w:val="000000"/>
                <w:sz w:val="23"/>
                <w:szCs w:val="23"/>
              </w:rPr>
              <w:lastRenderedPageBreak/>
              <w:t xml:space="preserve">           2. Taisyklių 26 punkte nurodyta, jog pareiškėjas, teikdamas paramos paraišką, turi įrodyti, kad jis atitinka ir </w:t>
            </w:r>
            <w:r w:rsidRPr="003D2715">
              <w:rPr>
                <w:rFonts w:ascii="Times New Roman" w:hAnsi="Times New Roman"/>
                <w:color w:val="000000"/>
                <w:sz w:val="23"/>
                <w:szCs w:val="23"/>
                <w:shd w:val="clear" w:color="auto" w:fill="FFFFFF"/>
              </w:rPr>
              <w:t>projekto įgyvendinimo metu bei projekto kontrolės laikotarpiu prognozuojami ekonominio gyvybingumo rodikliai atitinka </w:t>
            </w:r>
            <w:r w:rsidRPr="003D2715">
              <w:rPr>
                <w:rFonts w:ascii="Times New Roman" w:hAnsi="Times New Roman"/>
                <w:color w:val="000000"/>
                <w:sz w:val="23"/>
                <w:szCs w:val="23"/>
              </w:rPr>
              <w:t>ekonominio gyvybingumo kriterijus, nustatytus Ūkio subjektų, siekiančių pasinaudoti parama pagal Lietuvos žuvininkystės sektoriaus 2014–2020 metų veiksmų programos priemones, ekonominio gyvybingumo nustatymo taisyklėse, patvirtintose Lietuvos Respublikos žemės ūkio ministro 2015 m. lapkričio 24 d. įsakymu Nr. 3D-864 „Dėl Ūkio subjektų, siekiančių pasinaudoti parama pagal Lietuvos žuvininkystės sektoriaus 2014–2020 metų veiksmų programos priemones, ekonominio gyvybingumo nustatymo taisyklių patvirtinimo” (toliau – Ekonominio gyvybingumo taisyklės).</w:t>
            </w:r>
          </w:p>
          <w:p w14:paraId="34C197A8" w14:textId="77777777" w:rsidR="003D2715" w:rsidRPr="003D2715" w:rsidRDefault="003D2715" w:rsidP="003D2715">
            <w:pPr>
              <w:spacing w:after="0" w:line="240" w:lineRule="auto"/>
              <w:ind w:firstLine="709"/>
              <w:jc w:val="both"/>
              <w:rPr>
                <w:rFonts w:ascii="Times New Roman" w:hAnsi="Times New Roman"/>
                <w:sz w:val="23"/>
                <w:szCs w:val="23"/>
              </w:rPr>
            </w:pPr>
            <w:r w:rsidRPr="003D2715">
              <w:rPr>
                <w:rFonts w:ascii="Times New Roman" w:hAnsi="Times New Roman"/>
                <w:bCs/>
                <w:sz w:val="23"/>
                <w:szCs w:val="23"/>
              </w:rPr>
              <w:t xml:space="preserve">Ekonominio gyvybingumo taisyklių </w:t>
            </w:r>
            <w:r w:rsidRPr="003D2715">
              <w:rPr>
                <w:rFonts w:ascii="Times New Roman" w:hAnsi="Times New Roman"/>
                <w:sz w:val="23"/>
                <w:szCs w:val="23"/>
              </w:rPr>
              <w:t>16 punkte nustatyta, jog ūkio subjektams, kurie pripažinti neatitinkančiais ekonominio gyvybingumo tinkamumo kriterijaus dėl 15 punkte nurodytų priežasčių, ekonominį gyvybingumą apibūdinantys rodikliai neskaičiuojami. Ekonominio gyvybingumo taisyklių 15.2 papunktyje punkte nurodyta, jog ūkio subjektai laikomi netinkamais finansinei paramai gauti, kaip neatitinkantys ekonominio gyvybingumo (tinkamumo) kriterijaus, jei po gauto atsakymo į Nacionalinės mokėjimo agentūros prie Žemės ūkio ministerijos paklausimą:</w:t>
            </w:r>
          </w:p>
          <w:p w14:paraId="01E3E565" w14:textId="77777777" w:rsidR="003D2715" w:rsidRPr="003D2715" w:rsidRDefault="003D2715" w:rsidP="003D2715">
            <w:pPr>
              <w:spacing w:after="0" w:line="240" w:lineRule="auto"/>
              <w:ind w:firstLine="709"/>
              <w:jc w:val="both"/>
              <w:rPr>
                <w:rFonts w:ascii="Times New Roman" w:hAnsi="Times New Roman"/>
                <w:sz w:val="23"/>
                <w:szCs w:val="23"/>
              </w:rPr>
            </w:pPr>
            <w:r w:rsidRPr="003D2715">
              <w:rPr>
                <w:rFonts w:ascii="Times New Roman" w:hAnsi="Times New Roman"/>
                <w:sz w:val="23"/>
                <w:szCs w:val="23"/>
              </w:rPr>
              <w:t>15.2.1. planuojamojo laikotarpio metais finansinės atskaitomybės ataskaitose pateikiama informacija tarpusavyje nesusieta.</w:t>
            </w:r>
          </w:p>
          <w:p w14:paraId="2ED0F8D4" w14:textId="77777777" w:rsidR="003D2715" w:rsidRPr="003D2715" w:rsidRDefault="003D2715" w:rsidP="003D2715">
            <w:pPr>
              <w:spacing w:after="0" w:line="240" w:lineRule="auto"/>
              <w:jc w:val="both"/>
              <w:rPr>
                <w:rFonts w:ascii="Times New Roman" w:hAnsi="Times New Roman"/>
                <w:bCs/>
                <w:sz w:val="23"/>
                <w:szCs w:val="23"/>
              </w:rPr>
            </w:pPr>
            <w:r w:rsidRPr="003D2715">
              <w:rPr>
                <w:rFonts w:ascii="Times New Roman" w:hAnsi="Times New Roman"/>
                <w:bCs/>
                <w:sz w:val="23"/>
                <w:szCs w:val="23"/>
              </w:rPr>
              <w:t xml:space="preserve">         </w:t>
            </w:r>
            <w:r w:rsidRPr="003D2715">
              <w:rPr>
                <w:rFonts w:ascii="Times New Roman" w:hAnsi="Times New Roman"/>
                <w:sz w:val="23"/>
                <w:szCs w:val="23"/>
              </w:rPr>
              <w:t>Vertinimo metu nustatyta, jog:</w:t>
            </w:r>
          </w:p>
          <w:p w14:paraId="21E6AD7E" w14:textId="77777777" w:rsidR="003D2715" w:rsidRPr="003D2715" w:rsidRDefault="003D2715" w:rsidP="003D2715">
            <w:pPr>
              <w:numPr>
                <w:ilvl w:val="0"/>
                <w:numId w:val="3"/>
              </w:numPr>
              <w:spacing w:after="0" w:line="240" w:lineRule="auto"/>
              <w:contextualSpacing/>
              <w:jc w:val="both"/>
              <w:rPr>
                <w:rFonts w:ascii="Times New Roman" w:eastAsia="Times New Roman" w:hAnsi="Times New Roman"/>
                <w:color w:val="000000"/>
                <w:sz w:val="23"/>
                <w:szCs w:val="23"/>
                <w:lang w:eastAsia="lt-LT"/>
              </w:rPr>
            </w:pPr>
            <w:r w:rsidRPr="003D2715">
              <w:rPr>
                <w:rFonts w:ascii="Times New Roman" w:eastAsia="Times New Roman" w:hAnsi="Times New Roman"/>
                <w:color w:val="000000"/>
                <w:sz w:val="23"/>
                <w:szCs w:val="23"/>
                <w:lang w:eastAsia="lt-LT"/>
              </w:rPr>
              <w:t>Finansinės prognozės sudarytos trumpesniam nei 7 metai laikotarpiui;</w:t>
            </w:r>
          </w:p>
          <w:p w14:paraId="299A7166" w14:textId="77777777" w:rsidR="003D2715" w:rsidRPr="003D2715" w:rsidRDefault="003D2715" w:rsidP="003D2715">
            <w:pPr>
              <w:numPr>
                <w:ilvl w:val="0"/>
                <w:numId w:val="3"/>
              </w:numPr>
              <w:spacing w:after="0" w:line="240" w:lineRule="auto"/>
              <w:contextualSpacing/>
              <w:jc w:val="both"/>
              <w:rPr>
                <w:rFonts w:ascii="Times New Roman" w:eastAsia="Times New Roman" w:hAnsi="Times New Roman"/>
                <w:color w:val="000000"/>
                <w:sz w:val="23"/>
                <w:szCs w:val="23"/>
                <w:lang w:eastAsia="lt-LT"/>
              </w:rPr>
            </w:pPr>
            <w:r w:rsidRPr="003D2715">
              <w:rPr>
                <w:rFonts w:ascii="Times New Roman" w:eastAsia="Times New Roman" w:hAnsi="Times New Roman"/>
                <w:color w:val="000000"/>
                <w:sz w:val="23"/>
                <w:szCs w:val="23"/>
                <w:lang w:eastAsia="lt-LT"/>
              </w:rPr>
              <w:t>Pinigų srautų prognozėse 2020 m. apskaityta paskolų grąžinimo suma 50 000 Eur suma bei 2021 m.  apskaityta paskolų grąžinimo suma 50 000 Eur suma, tuo tarpu verslo plano X skyriaus  „Informacija apie paskolas ir (arba) išperkamąją nuomą (lizingą) (Eur)“ 2 skyriaus 4 punkte 2020-2023 m. laikotarpiu apskaityta paskolų gražinimo suma 50 000 Eur kiekvienais metais;</w:t>
            </w:r>
          </w:p>
          <w:p w14:paraId="24FD197E" w14:textId="77777777" w:rsidR="003D2715" w:rsidRPr="003D2715" w:rsidRDefault="003D2715" w:rsidP="003D2715">
            <w:pPr>
              <w:numPr>
                <w:ilvl w:val="0"/>
                <w:numId w:val="3"/>
              </w:numPr>
              <w:spacing w:after="0" w:line="240" w:lineRule="auto"/>
              <w:contextualSpacing/>
              <w:jc w:val="both"/>
              <w:rPr>
                <w:rFonts w:ascii="Times New Roman" w:eastAsia="Times New Roman" w:hAnsi="Times New Roman"/>
                <w:color w:val="000000"/>
                <w:sz w:val="23"/>
                <w:szCs w:val="23"/>
                <w:lang w:eastAsia="lt-LT"/>
              </w:rPr>
            </w:pPr>
            <w:r w:rsidRPr="003D2715">
              <w:rPr>
                <w:rFonts w:ascii="Times New Roman" w:eastAsia="Times New Roman" w:hAnsi="Times New Roman"/>
                <w:color w:val="000000"/>
                <w:sz w:val="23"/>
                <w:szCs w:val="23"/>
                <w:lang w:eastAsia="lt-LT"/>
              </w:rPr>
              <w:t>Balanso prognozėse nėra apskaitomas biologinis turtas;</w:t>
            </w:r>
          </w:p>
          <w:p w14:paraId="1CC7BC89" w14:textId="77777777" w:rsidR="003D2715" w:rsidRPr="003D2715" w:rsidRDefault="003D2715" w:rsidP="003D2715">
            <w:pPr>
              <w:numPr>
                <w:ilvl w:val="0"/>
                <w:numId w:val="3"/>
              </w:numPr>
              <w:spacing w:after="0" w:line="240" w:lineRule="auto"/>
              <w:contextualSpacing/>
              <w:jc w:val="both"/>
              <w:rPr>
                <w:rFonts w:ascii="Times New Roman" w:eastAsia="Times New Roman" w:hAnsi="Times New Roman"/>
                <w:color w:val="000000"/>
                <w:sz w:val="23"/>
                <w:szCs w:val="23"/>
                <w:lang w:eastAsia="lt-LT"/>
              </w:rPr>
            </w:pPr>
            <w:r w:rsidRPr="003D2715">
              <w:rPr>
                <w:rFonts w:ascii="Times New Roman" w:eastAsia="Times New Roman" w:hAnsi="Times New Roman"/>
                <w:color w:val="000000"/>
                <w:sz w:val="23"/>
                <w:szCs w:val="23"/>
                <w:lang w:eastAsia="lt-LT"/>
              </w:rPr>
              <w:t>Pinigų srautų prognozėse neapskaityta  planuojamos gauti paramos suma;</w:t>
            </w:r>
          </w:p>
          <w:p w14:paraId="35988B5E" w14:textId="77777777" w:rsidR="003D2715" w:rsidRPr="003D2715" w:rsidRDefault="003D2715" w:rsidP="003D2715">
            <w:pPr>
              <w:numPr>
                <w:ilvl w:val="0"/>
                <w:numId w:val="3"/>
              </w:numPr>
              <w:spacing w:after="0" w:line="240" w:lineRule="auto"/>
              <w:contextualSpacing/>
              <w:jc w:val="both"/>
              <w:rPr>
                <w:rFonts w:ascii="Times New Roman" w:eastAsia="Times New Roman" w:hAnsi="Times New Roman"/>
                <w:color w:val="000000"/>
                <w:sz w:val="23"/>
                <w:szCs w:val="23"/>
                <w:lang w:eastAsia="lt-LT"/>
              </w:rPr>
            </w:pPr>
            <w:r w:rsidRPr="003D2715">
              <w:rPr>
                <w:rFonts w:ascii="Times New Roman" w:eastAsia="Times New Roman" w:hAnsi="Times New Roman"/>
                <w:color w:val="000000"/>
                <w:sz w:val="23"/>
                <w:szCs w:val="23"/>
                <w:lang w:eastAsia="lt-LT"/>
              </w:rPr>
              <w:t xml:space="preserve">Pinigų srautų prognozėse nekorektiškai apskaityta nusidėvėjimo ir amortizacijos sąnaudų suma, </w:t>
            </w:r>
            <w:r w:rsidRPr="003D2715">
              <w:rPr>
                <w:rFonts w:ascii="Times New Roman" w:eastAsia="Times New Roman" w:hAnsi="Times New Roman"/>
                <w:sz w:val="23"/>
                <w:szCs w:val="23"/>
              </w:rPr>
              <w:t>t. y. apskaitytos nusidėvėjimo ir amortizacijos sąnaudų sumos neįvertinus ES paramos nusidėvėjimo;</w:t>
            </w:r>
          </w:p>
          <w:p w14:paraId="38276672" w14:textId="77777777" w:rsidR="003D2715" w:rsidRPr="003D2715" w:rsidRDefault="003D2715" w:rsidP="003D2715">
            <w:pPr>
              <w:numPr>
                <w:ilvl w:val="0"/>
                <w:numId w:val="3"/>
              </w:numPr>
              <w:spacing w:after="0" w:line="240" w:lineRule="auto"/>
              <w:contextualSpacing/>
              <w:jc w:val="both"/>
              <w:rPr>
                <w:rFonts w:ascii="Times New Roman" w:eastAsia="Times New Roman" w:hAnsi="Times New Roman"/>
                <w:color w:val="000000"/>
                <w:sz w:val="23"/>
                <w:szCs w:val="23"/>
                <w:lang w:eastAsia="lt-LT"/>
              </w:rPr>
            </w:pPr>
            <w:r w:rsidRPr="003D2715">
              <w:rPr>
                <w:rFonts w:ascii="Times New Roman" w:eastAsia="Times New Roman" w:hAnsi="Times New Roman"/>
                <w:color w:val="000000"/>
                <w:sz w:val="23"/>
                <w:szCs w:val="23"/>
                <w:lang w:eastAsia="lt-LT"/>
              </w:rPr>
              <w:t>Pelno/nuostolio prognozėse nekorektiškai apskaitytos veiklos sąnaudos 2018-2023 m. laikotarpiu.</w:t>
            </w:r>
          </w:p>
          <w:p w14:paraId="5A920053" w14:textId="77777777" w:rsidR="003D2715" w:rsidRPr="003D2715" w:rsidRDefault="003D2715" w:rsidP="003D2715">
            <w:pPr>
              <w:spacing w:after="0" w:line="240" w:lineRule="auto"/>
              <w:jc w:val="both"/>
              <w:rPr>
                <w:rFonts w:ascii="Times New Roman" w:hAnsi="Times New Roman"/>
                <w:sz w:val="23"/>
                <w:szCs w:val="23"/>
              </w:rPr>
            </w:pPr>
            <w:r w:rsidRPr="003D2715">
              <w:rPr>
                <w:rFonts w:ascii="Times New Roman" w:hAnsi="Times New Roman"/>
                <w:sz w:val="23"/>
                <w:szCs w:val="23"/>
              </w:rPr>
              <w:t xml:space="preserve">              Atsižvelgiant į nustatytus neatitikimus, vadovaujantis Administravimo taisyklių 71 punktu, Pareiškėjai 2017 m. rugpjūčio 17 d. buvo išsiųstas Paklausimas Nr.1, prašant patikslinti finansines prognozes ir susijusią informaciją verslo plane.</w:t>
            </w:r>
          </w:p>
          <w:p w14:paraId="2E2352FC" w14:textId="77777777" w:rsidR="003D2715" w:rsidRPr="003D2715" w:rsidRDefault="003D2715" w:rsidP="003D2715">
            <w:pPr>
              <w:spacing w:after="0" w:line="240" w:lineRule="auto"/>
              <w:jc w:val="both"/>
              <w:rPr>
                <w:rFonts w:ascii="Times New Roman" w:hAnsi="Times New Roman"/>
                <w:color w:val="000000"/>
                <w:sz w:val="23"/>
                <w:szCs w:val="23"/>
              </w:rPr>
            </w:pPr>
            <w:r w:rsidRPr="003D2715">
              <w:rPr>
                <w:rFonts w:ascii="Times New Roman" w:hAnsi="Times New Roman"/>
                <w:color w:val="000000"/>
                <w:sz w:val="23"/>
                <w:szCs w:val="23"/>
              </w:rPr>
              <w:t xml:space="preserve">             2017 m. rugpjūčio 31 d. Pareiškėja atsakydama į Paklausimą Nr.1 (</w:t>
            </w:r>
            <w:proofErr w:type="spellStart"/>
            <w:r w:rsidRPr="003D2715">
              <w:rPr>
                <w:rFonts w:ascii="Times New Roman" w:hAnsi="Times New Roman"/>
                <w:color w:val="000000"/>
                <w:sz w:val="23"/>
                <w:szCs w:val="23"/>
              </w:rPr>
              <w:t>reg</w:t>
            </w:r>
            <w:proofErr w:type="spellEnd"/>
            <w:r w:rsidRPr="003D2715">
              <w:rPr>
                <w:rFonts w:ascii="Times New Roman" w:hAnsi="Times New Roman"/>
                <w:color w:val="000000"/>
                <w:sz w:val="23"/>
                <w:szCs w:val="23"/>
              </w:rPr>
              <w:t>. Nr. BR5.2-11866), pateikė finansines prognozes sudarytas 2016-2024 m. laikotarpiui, tačiau nepatikslino duomenų balanso prognozėse apie biologinį turtą, pelno/nuostolio prognozėse apie veiklos sąnaudas ir pinigų srautų prognozėse apie nusidėvėjimo ir amortizacijos sąnaudas, todėl atsižvelgiant į tai, Pareiškėjai 2017 m. rugsėjo 18 d. buvo išsiųstas</w:t>
            </w:r>
            <w:r w:rsidRPr="003D2715">
              <w:rPr>
                <w:rFonts w:ascii="Times New Roman" w:hAnsi="Times New Roman"/>
                <w:sz w:val="23"/>
                <w:szCs w:val="23"/>
              </w:rPr>
              <w:t xml:space="preserve"> Paklausimas Nr. 2, pakartotinai prašant </w:t>
            </w:r>
            <w:r w:rsidRPr="003D2715">
              <w:rPr>
                <w:rFonts w:ascii="Times New Roman" w:hAnsi="Times New Roman"/>
                <w:color w:val="000000"/>
                <w:sz w:val="23"/>
                <w:szCs w:val="23"/>
              </w:rPr>
              <w:t xml:space="preserve">patikslinti finansines prognozes ir susijusią informaciją verslo plane.      </w:t>
            </w:r>
          </w:p>
          <w:p w14:paraId="1C33576E" w14:textId="77777777" w:rsidR="003D2715" w:rsidRPr="003D2715" w:rsidRDefault="003D2715" w:rsidP="003D2715">
            <w:pPr>
              <w:spacing w:after="0" w:line="240" w:lineRule="auto"/>
              <w:jc w:val="both"/>
              <w:rPr>
                <w:rFonts w:ascii="Times New Roman" w:hAnsi="Times New Roman"/>
                <w:color w:val="000000"/>
                <w:sz w:val="23"/>
                <w:szCs w:val="23"/>
              </w:rPr>
            </w:pPr>
            <w:r w:rsidRPr="003D2715">
              <w:rPr>
                <w:rFonts w:ascii="Times New Roman" w:hAnsi="Times New Roman"/>
                <w:color w:val="000000"/>
                <w:sz w:val="23"/>
                <w:szCs w:val="23"/>
              </w:rPr>
              <w:lastRenderedPageBreak/>
              <w:t xml:space="preserve">             2017 m. rugsėjo 25 d. Pareiškėja atsakydama į Paklausimą Nr.2 (</w:t>
            </w:r>
            <w:proofErr w:type="spellStart"/>
            <w:r w:rsidRPr="003D2715">
              <w:rPr>
                <w:rFonts w:ascii="Times New Roman" w:hAnsi="Times New Roman"/>
                <w:color w:val="000000"/>
                <w:sz w:val="23"/>
                <w:szCs w:val="23"/>
              </w:rPr>
              <w:t>reg</w:t>
            </w:r>
            <w:proofErr w:type="spellEnd"/>
            <w:r w:rsidRPr="003D2715">
              <w:rPr>
                <w:rFonts w:ascii="Times New Roman" w:hAnsi="Times New Roman"/>
                <w:color w:val="000000"/>
                <w:sz w:val="23"/>
                <w:szCs w:val="23"/>
              </w:rPr>
              <w:t xml:space="preserve">. Nr. BR5.2-12969), </w:t>
            </w:r>
            <w:r w:rsidRPr="003D2715">
              <w:rPr>
                <w:rFonts w:ascii="Times New Roman" w:hAnsi="Times New Roman"/>
                <w:sz w:val="23"/>
                <w:szCs w:val="23"/>
              </w:rPr>
              <w:t>pateikė patikslintas finansines prognozes sudarytas 2016-2023 m. laikotarpiui ir perskaičiuotus ekonominio gyvybingumo rodiklius, tačiau vertinimo</w:t>
            </w:r>
            <w:r w:rsidRPr="003D2715">
              <w:rPr>
                <w:rFonts w:ascii="Times New Roman" w:hAnsi="Times New Roman"/>
                <w:snapToGrid w:val="0"/>
                <w:sz w:val="23"/>
                <w:szCs w:val="23"/>
              </w:rPr>
              <w:t xml:space="preserve"> metu nustatyta, kad </w:t>
            </w:r>
            <w:r w:rsidRPr="003D2715">
              <w:rPr>
                <w:rFonts w:ascii="Times New Roman" w:hAnsi="Times New Roman"/>
                <w:sz w:val="23"/>
                <w:szCs w:val="23"/>
              </w:rPr>
              <w:t xml:space="preserve">jog pateiktos finansinės prognozės sudarytos </w:t>
            </w:r>
            <w:r w:rsidRPr="003D2715">
              <w:rPr>
                <w:rFonts w:ascii="Times New Roman" w:hAnsi="Times New Roman"/>
                <w:color w:val="000000"/>
                <w:sz w:val="23"/>
                <w:szCs w:val="23"/>
                <w:lang w:eastAsia="lt-LT"/>
              </w:rPr>
              <w:t>trumpesniam nei 7 metai laikotarpiui</w:t>
            </w:r>
            <w:r w:rsidRPr="003D2715">
              <w:rPr>
                <w:rFonts w:ascii="Times New Roman" w:hAnsi="Times New Roman"/>
                <w:sz w:val="23"/>
                <w:szCs w:val="23"/>
              </w:rPr>
              <w:t xml:space="preserve">, </w:t>
            </w:r>
            <w:proofErr w:type="spellStart"/>
            <w:r w:rsidRPr="003D2715">
              <w:rPr>
                <w:rFonts w:ascii="Times New Roman" w:hAnsi="Times New Roman"/>
                <w:sz w:val="23"/>
                <w:szCs w:val="23"/>
              </w:rPr>
              <w:t>t.y</w:t>
            </w:r>
            <w:proofErr w:type="spellEnd"/>
            <w:r w:rsidRPr="003D2715">
              <w:rPr>
                <w:rFonts w:ascii="Times New Roman" w:hAnsi="Times New Roman"/>
                <w:sz w:val="23"/>
                <w:szCs w:val="23"/>
              </w:rPr>
              <w:t>. neapima viso projekto kontrolės laikotarpio ir pateiktose patikslintose finansinėse prognozėse ir verslo plane pateikta informacija tarpusavyje</w:t>
            </w:r>
            <w:r w:rsidRPr="003D2715">
              <w:rPr>
                <w:rFonts w:ascii="Times New Roman" w:hAnsi="Times New Roman"/>
                <w:snapToGrid w:val="0"/>
                <w:sz w:val="23"/>
                <w:szCs w:val="23"/>
              </w:rPr>
              <w:t xml:space="preserve"> nesusieta ir todėl </w:t>
            </w:r>
            <w:r w:rsidRPr="003D2715">
              <w:rPr>
                <w:rFonts w:ascii="Times New Roman" w:hAnsi="Times New Roman"/>
                <w:sz w:val="23"/>
                <w:szCs w:val="23"/>
              </w:rPr>
              <w:t>pateiktame verslo plane Pareiškėja neįrodo, jog atitinka ir ateityje atitiks ekonominio gyvybingumo rodiklius:</w:t>
            </w:r>
          </w:p>
          <w:p w14:paraId="78ADCE2E" w14:textId="77777777" w:rsidR="003D2715" w:rsidRPr="003D2715" w:rsidRDefault="003D2715" w:rsidP="003D2715">
            <w:pPr>
              <w:numPr>
                <w:ilvl w:val="0"/>
                <w:numId w:val="3"/>
              </w:numPr>
              <w:spacing w:after="0" w:line="240" w:lineRule="auto"/>
              <w:contextualSpacing/>
              <w:jc w:val="both"/>
              <w:rPr>
                <w:rFonts w:ascii="Times New Roman" w:eastAsia="Times New Roman" w:hAnsi="Times New Roman"/>
                <w:color w:val="000000"/>
                <w:sz w:val="23"/>
                <w:szCs w:val="23"/>
                <w:lang w:eastAsia="lt-LT"/>
              </w:rPr>
            </w:pPr>
            <w:r w:rsidRPr="003D2715">
              <w:rPr>
                <w:rFonts w:ascii="Times New Roman" w:eastAsia="Times New Roman" w:hAnsi="Times New Roman"/>
                <w:color w:val="000000"/>
                <w:sz w:val="23"/>
                <w:szCs w:val="23"/>
                <w:lang w:eastAsia="lt-LT"/>
              </w:rPr>
              <w:t>Finansinės prognozės sudarytos trumpesniam nei 7 metai laikotarpiui;</w:t>
            </w:r>
          </w:p>
          <w:p w14:paraId="3ECBB5E5" w14:textId="77777777" w:rsidR="003D2715" w:rsidRPr="003D2715" w:rsidRDefault="003D2715" w:rsidP="003D2715">
            <w:pPr>
              <w:numPr>
                <w:ilvl w:val="0"/>
                <w:numId w:val="3"/>
              </w:numPr>
              <w:spacing w:after="0" w:line="240" w:lineRule="auto"/>
              <w:contextualSpacing/>
              <w:jc w:val="both"/>
              <w:rPr>
                <w:rFonts w:ascii="Times New Roman" w:eastAsia="Times New Roman" w:hAnsi="Times New Roman"/>
                <w:color w:val="000000"/>
                <w:sz w:val="23"/>
                <w:szCs w:val="23"/>
                <w:lang w:eastAsia="lt-LT"/>
              </w:rPr>
            </w:pPr>
            <w:r w:rsidRPr="003D2715">
              <w:rPr>
                <w:rFonts w:ascii="Times New Roman" w:eastAsia="Times New Roman" w:hAnsi="Times New Roman"/>
                <w:color w:val="000000"/>
                <w:sz w:val="23"/>
                <w:szCs w:val="23"/>
                <w:lang w:eastAsia="lt-LT"/>
              </w:rPr>
              <w:t>Balanso prognozėse nėra apskaitomas biologinis turtas;</w:t>
            </w:r>
          </w:p>
          <w:p w14:paraId="280DDD59" w14:textId="77777777" w:rsidR="003D2715" w:rsidRPr="003D2715" w:rsidRDefault="003D2715" w:rsidP="003D2715">
            <w:pPr>
              <w:numPr>
                <w:ilvl w:val="0"/>
                <w:numId w:val="3"/>
              </w:numPr>
              <w:tabs>
                <w:tab w:val="left" w:pos="-540"/>
              </w:tabs>
              <w:spacing w:after="0" w:line="240" w:lineRule="auto"/>
              <w:contextualSpacing/>
              <w:jc w:val="both"/>
              <w:rPr>
                <w:rFonts w:ascii="Times New Roman" w:eastAsia="Times New Roman" w:hAnsi="Times New Roman"/>
                <w:sz w:val="23"/>
                <w:szCs w:val="23"/>
              </w:rPr>
            </w:pPr>
            <w:r w:rsidRPr="003D2715">
              <w:rPr>
                <w:rFonts w:ascii="Times New Roman" w:eastAsia="Times New Roman" w:hAnsi="Times New Roman"/>
                <w:color w:val="000000"/>
                <w:sz w:val="23"/>
                <w:szCs w:val="23"/>
                <w:lang w:eastAsia="lt-LT"/>
              </w:rPr>
              <w:t xml:space="preserve">Pinigų srautų prognozėse  planuojamos gauti paramos suma apskaityta skyriaus „Investicinės veiklos pinigų srautai“ eilutėje „Kiti investicinės veiklos pinigų srautų  padidėjimai“, kai tuo tarpu  vadovaujantis </w:t>
            </w:r>
            <w:r w:rsidRPr="003D2715">
              <w:rPr>
                <w:rFonts w:ascii="Times New Roman" w:eastAsia="Times New Roman" w:hAnsi="Times New Roman"/>
                <w:sz w:val="23"/>
                <w:szCs w:val="23"/>
              </w:rPr>
              <w:t>5-ojo verslo apskaitos standarto „Pinigų srautų ataskaita“, patvirtinto Audito ir apskaitos tarnybos direktoriaus 2010 m. birželio 4 d. įsakymu Nr. VAS-14 „Dėl 5-ojo verslo apskaitos standarto „Pinigų srautų ataskaita“ tvirtinimo“ VIII skyriaus „Įmonės investicinės ir finansinės veiklos pinigų srautų pateikimas“ 26 punktu, per ataskaitinį laikotarpį pinigais gauta dotacija ilgalaikiam turtui įsigyti, apskaitoma skyriaus „Finansinės veiklos pinigų srautai“ eilutėje „Kiti finansinės veiklos pinigų srautų padidėjimai</w:t>
            </w:r>
            <w:r w:rsidRPr="003D2715">
              <w:rPr>
                <w:rFonts w:ascii="Times New Roman" w:eastAsia="Times New Roman" w:hAnsi="Times New Roman"/>
                <w:color w:val="000000"/>
                <w:sz w:val="23"/>
                <w:szCs w:val="23"/>
                <w:lang w:eastAsia="lt-LT"/>
              </w:rPr>
              <w:t>;</w:t>
            </w:r>
          </w:p>
          <w:p w14:paraId="36F159ED" w14:textId="77777777" w:rsidR="003D2715" w:rsidRPr="003D2715" w:rsidRDefault="003D2715" w:rsidP="003D2715">
            <w:pPr>
              <w:numPr>
                <w:ilvl w:val="0"/>
                <w:numId w:val="3"/>
              </w:numPr>
              <w:spacing w:after="0" w:line="240" w:lineRule="auto"/>
              <w:contextualSpacing/>
              <w:jc w:val="both"/>
              <w:rPr>
                <w:rFonts w:ascii="Times New Roman" w:eastAsia="Times New Roman" w:hAnsi="Times New Roman"/>
                <w:color w:val="000000"/>
                <w:sz w:val="23"/>
                <w:szCs w:val="23"/>
                <w:lang w:eastAsia="lt-LT"/>
              </w:rPr>
            </w:pPr>
            <w:r w:rsidRPr="003D2715">
              <w:rPr>
                <w:rFonts w:ascii="Times New Roman" w:eastAsia="Times New Roman" w:hAnsi="Times New Roman"/>
                <w:color w:val="000000"/>
                <w:sz w:val="23"/>
                <w:szCs w:val="23"/>
                <w:lang w:eastAsia="lt-LT"/>
              </w:rPr>
              <w:t xml:space="preserve">Pinigų srautų prognozės sudarytos tik 2016-2022 m. laikotarpiui ir pinigų srautų prognozėse nekorektiškai apskaityta nusidėvėjimo ir amortizacijos sąnaudų suma, </w:t>
            </w:r>
            <w:r w:rsidRPr="003D2715">
              <w:rPr>
                <w:rFonts w:ascii="Times New Roman" w:eastAsia="Times New Roman" w:hAnsi="Times New Roman"/>
                <w:sz w:val="23"/>
                <w:szCs w:val="23"/>
              </w:rPr>
              <w:t>t. y. apskaitytos nusidėvėjimo ir amortizacijos sąnaudų sumos neįvertinus ES paramos nusidėvėjimo (verslo plano  X skyriaus „Finansinės ataskaitos“ lentelės  „Balanso prognozės“ eilutėje „Kita įranga, prietaisai, įrankiai ir įrengimai“ 2020 m. apskaitytas  ilgalaikio turto pokytis 39 173 Eur, atitinkamai 2021 m. 39 173 Eur, 2022 m. 39 173 Eur ir 2023 m. 39 173 Eur ir  verslo plano X skyriaus „Finansinės ataskaitos“ lentelės „Pinigų srautų prognozės“ eilutėje  „Nusidėvėjimo ir amortizacijos sąnaudos“  2020 - 2022 m. laikotarpiu apskaityta 39 173 Eur  nusidėvėjimo ir amortizacijos sąnaudų suma kiekvienais metais, o 2023 m. duomenys nepateikti, kai tuo tarpu pinigų srautų prognozėse turėtų būti apskaitomos  nusidėvėjimo ir amortizacijos sąnaudų sumos įvertinus ES paramos nusidėvėjimą, o ne apskaitoma visa nusidėvėjimo ir amortizacijos sąnaudų suma);</w:t>
            </w:r>
          </w:p>
          <w:p w14:paraId="6413B495" w14:textId="77777777" w:rsidR="003D2715" w:rsidRPr="003D2715" w:rsidRDefault="003D2715" w:rsidP="003D2715">
            <w:pPr>
              <w:numPr>
                <w:ilvl w:val="0"/>
                <w:numId w:val="3"/>
              </w:numPr>
              <w:tabs>
                <w:tab w:val="left" w:pos="-540"/>
              </w:tabs>
              <w:spacing w:after="0" w:line="240" w:lineRule="auto"/>
              <w:contextualSpacing/>
              <w:jc w:val="both"/>
              <w:rPr>
                <w:rFonts w:ascii="Times New Roman" w:eastAsia="Times New Roman" w:hAnsi="Times New Roman"/>
                <w:sz w:val="23"/>
                <w:szCs w:val="23"/>
              </w:rPr>
            </w:pPr>
            <w:r w:rsidRPr="003D2715">
              <w:rPr>
                <w:rFonts w:ascii="Times New Roman" w:eastAsia="Times New Roman" w:hAnsi="Times New Roman"/>
                <w:sz w:val="23"/>
                <w:szCs w:val="23"/>
              </w:rPr>
              <w:t>Verslo plano VI skyriaus „Informacija apie ūkio subjekto veiklos sąnaudas, Eur“ lentelėje apskaitytas ES paramos nusidėvėjimas nesutampa su verslo plano  X skyriaus „Finansinės ataskaitos“ lentelės  „Balanso prognozės“ eilutėje „Dotacijos, subsidijos“ apskaitytu dotacijų pokyčiu (</w:t>
            </w:r>
            <w:proofErr w:type="spellStart"/>
            <w:r w:rsidRPr="003D2715">
              <w:rPr>
                <w:rFonts w:ascii="Times New Roman" w:eastAsia="Times New Roman" w:hAnsi="Times New Roman"/>
                <w:sz w:val="23"/>
                <w:szCs w:val="23"/>
              </w:rPr>
              <w:t>t.y</w:t>
            </w:r>
            <w:proofErr w:type="spellEnd"/>
            <w:r w:rsidRPr="003D2715">
              <w:rPr>
                <w:rFonts w:ascii="Times New Roman" w:eastAsia="Times New Roman" w:hAnsi="Times New Roman"/>
                <w:sz w:val="23"/>
                <w:szCs w:val="23"/>
              </w:rPr>
              <w:t>. X skyriaus „Finansinės ataskaitos“ lentelės  „Balanso prognozės“ eilutėje „Dotacijos, subsidijos“ 2018 m.  apskaityta 89 702 Eur, atitinkamai 2019 m. 75 302 Eur,  2020 m. 55 000 Eur ir 2021 m. 5 000 Eur dotacijų pokyčio suma, tačiau verslo VI skyriaus „Informacija apie ūkio subjekto veiklos sąnaudas, Eur“ lentelėje  2018 m. apskaityta  0 Eur, atitinkamai 2019 m. 5 058 Eur, 2020 m. 19 586 Eur, 2021 m 19 587 Eur, 2022 m. 19 586 Eur, 2023 m. 19 587 Eur ir 2024 m. 19 586 Eur ES paramos nusidėvėjimo suma;</w:t>
            </w:r>
          </w:p>
          <w:p w14:paraId="6303B003" w14:textId="77777777" w:rsidR="003D2715" w:rsidRPr="003D2715" w:rsidRDefault="003D2715" w:rsidP="003D2715">
            <w:pPr>
              <w:numPr>
                <w:ilvl w:val="0"/>
                <w:numId w:val="3"/>
              </w:numPr>
              <w:spacing w:after="0" w:line="240" w:lineRule="auto"/>
              <w:contextualSpacing/>
              <w:jc w:val="both"/>
              <w:rPr>
                <w:rFonts w:ascii="Times New Roman" w:eastAsia="Times New Roman" w:hAnsi="Times New Roman"/>
                <w:sz w:val="23"/>
                <w:szCs w:val="23"/>
              </w:rPr>
            </w:pPr>
            <w:r w:rsidRPr="003D2715">
              <w:rPr>
                <w:rFonts w:ascii="Times New Roman" w:eastAsia="Times New Roman" w:hAnsi="Times New Roman"/>
                <w:sz w:val="23"/>
                <w:szCs w:val="23"/>
              </w:rPr>
              <w:lastRenderedPageBreak/>
              <w:t>Verslo plano VIII skyriuje „Informacija apie ilgalaikį turtą“ nėra pateikta informacija apie ilgalaikio turto nurašymus, sukauptą nusidėvėjimą metų pradžioje  ir priskaičiuotą nusidėvėjimą 2016-2024 m. laikotarpiu.</w:t>
            </w:r>
            <w:r w:rsidRPr="003D2715">
              <w:rPr>
                <w:rFonts w:ascii="Times New Roman" w:eastAsia="Times New Roman" w:hAnsi="Times New Roman"/>
                <w:color w:val="000000"/>
                <w:sz w:val="23"/>
                <w:szCs w:val="23"/>
              </w:rPr>
              <w:t xml:space="preserve"> </w:t>
            </w:r>
          </w:p>
          <w:p w14:paraId="39B79CC7" w14:textId="1F8454E9" w:rsidR="0006205F" w:rsidRPr="00366C16" w:rsidRDefault="003D2715" w:rsidP="003D2715">
            <w:pPr>
              <w:spacing w:after="0"/>
              <w:ind w:firstLine="425"/>
              <w:jc w:val="both"/>
              <w:rPr>
                <w:rFonts w:ascii="Times New Roman" w:hAnsi="Times New Roman"/>
                <w:b/>
                <w:bCs/>
              </w:rPr>
            </w:pPr>
            <w:r w:rsidRPr="00366C16">
              <w:rPr>
                <w:rFonts w:ascii="Times New Roman" w:hAnsi="Times New Roman"/>
                <w:sz w:val="23"/>
                <w:szCs w:val="23"/>
              </w:rPr>
              <w:t xml:space="preserve">            Atsižvelgiant į tai, jog kartu su paraiška pateiktame verslo plane Pareiškėja neįrodo, jog atitinka ir ateityje atitiks ekonominio gyvybingumo rodiklius, taip pat atsižvelgiant į tai, kad Pareiškėja neužtikrino tinkamo projekto finansavimo ir neištaisė nustatytų neatitikimų po Agentūros pateiktų  Paklausimų Nr.1 ir  Nr.2,  nustatyta, jog  planuojamo laikotarpio finansinės prognozės sudarytos trumpesniam nei 7 m. laikotarpiui ir  pinigų srautų prognozėse nurodyti duomenys  apie nusidėvėjimo ir amortizacijos sąnaudų  sumas nesusieti su planuojamo laikotarpio balanso prognozių  duomenimis apie ilgalaikio turto pokytį bei į tai, jog verslo plane apskaitytas ES paramos nusidėvėjimas nesutampa su  balanso prognozėse nurodytais duomenimis apie dotacijas ir subsidijas  ir dėl to   </w:t>
            </w:r>
            <w:r w:rsidRPr="00366C16">
              <w:rPr>
                <w:rFonts w:ascii="Times New Roman" w:hAnsi="Times New Roman"/>
                <w:sz w:val="23"/>
                <w:szCs w:val="23"/>
                <w:shd w:val="clear" w:color="auto" w:fill="FFFFFF"/>
              </w:rPr>
              <w:t>planuojamo laikotarpio finansinės atskaitomybės ataskaitose pateikiama informacija tarpusavyje nesusieta</w:t>
            </w:r>
            <w:r w:rsidRPr="00366C16">
              <w:rPr>
                <w:rFonts w:ascii="Times New Roman" w:hAnsi="Times New Roman"/>
                <w:sz w:val="23"/>
                <w:szCs w:val="23"/>
              </w:rPr>
              <w:t>, Pareiškėja neatitinka  Ekonominio gyvybingumo taisyklių 15.2.1 papunktyje nurodytos nuostatos, todėl remiantis Ekonominio gyvybingumo taisyklių 16 punktu ekonominio gyvybingumo rodikliai neskaičiuojami,  kas sąlygoja, kad Pareiškėja  taip pat neatitinka ir Taisyklių 26 punkte nurodyto tinkamumo kriterijaus paramai gauti.</w:t>
            </w:r>
          </w:p>
        </w:tc>
      </w:tr>
      <w:tr w:rsidR="003D2715" w:rsidRPr="00366C16" w14:paraId="2856AA38" w14:textId="77777777" w:rsidTr="00F608D4">
        <w:trPr>
          <w:trHeight w:val="524"/>
        </w:trPr>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36B770" w14:textId="03CFB7DC" w:rsidR="003D2715" w:rsidRPr="00366C16" w:rsidRDefault="003D2715" w:rsidP="00F608D4">
            <w:pPr>
              <w:spacing w:after="0" w:line="240" w:lineRule="auto"/>
              <w:rPr>
                <w:rFonts w:ascii="Times New Roman" w:eastAsia="Times New Roman" w:hAnsi="Times New Roman"/>
                <w:lang w:eastAsia="lt-LT"/>
              </w:rPr>
            </w:pPr>
            <w:r w:rsidRPr="00366C16">
              <w:rPr>
                <w:rFonts w:ascii="Times New Roman" w:eastAsia="Times New Roman" w:hAnsi="Times New Roman"/>
                <w:lang w:eastAsia="lt-LT"/>
              </w:rPr>
              <w:lastRenderedPageBreak/>
              <w:t>2.</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28150F" w14:textId="3CA78B90" w:rsidR="003D2715" w:rsidRPr="00366C16" w:rsidRDefault="003D2715" w:rsidP="00BC4470">
            <w:pPr>
              <w:spacing w:after="0" w:line="240" w:lineRule="auto"/>
              <w:rPr>
                <w:rFonts w:ascii="Times New Roman" w:hAnsi="Times New Roman"/>
              </w:rPr>
            </w:pPr>
            <w:r w:rsidRPr="00366C16">
              <w:rPr>
                <w:rFonts w:ascii="Times New Roman" w:hAnsi="Times New Roman"/>
              </w:rPr>
              <w:t>48IA-KV-17-1-01838-PR001</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0BCC455" w14:textId="2A1370BC" w:rsidR="003D2715" w:rsidRPr="00366C16" w:rsidRDefault="003D2715" w:rsidP="00F608D4">
            <w:pPr>
              <w:spacing w:after="0"/>
              <w:rPr>
                <w:rFonts w:ascii="Times New Roman" w:hAnsi="Times New Roman"/>
                <w:bCs/>
              </w:rPr>
            </w:pPr>
            <w:r w:rsidRPr="00366C16">
              <w:rPr>
                <w:rFonts w:ascii="Times New Roman" w:hAnsi="Times New Roman"/>
              </w:rPr>
              <w:t>UAB “</w:t>
            </w:r>
            <w:proofErr w:type="spellStart"/>
            <w:r w:rsidRPr="00366C16">
              <w:rPr>
                <w:rFonts w:ascii="Times New Roman" w:hAnsi="Times New Roman"/>
              </w:rPr>
              <w:t>Ebisu</w:t>
            </w:r>
            <w:proofErr w:type="spellEnd"/>
            <w:r w:rsidRPr="00366C16">
              <w:rPr>
                <w:rFonts w:ascii="Times New Roman" w:hAnsi="Times New Roman"/>
              </w:rPr>
              <w:t xml:space="preserve"> </w:t>
            </w:r>
            <w:proofErr w:type="spellStart"/>
            <w:r w:rsidRPr="00366C16">
              <w:rPr>
                <w:rFonts w:ascii="Times New Roman" w:hAnsi="Times New Roman"/>
              </w:rPr>
              <w:t>fish</w:t>
            </w:r>
            <w:proofErr w:type="spellEnd"/>
            <w:r w:rsidRPr="00366C16">
              <w:rPr>
                <w:rFonts w:ascii="Times New Roman" w:hAnsi="Times New Roman"/>
              </w:rPr>
              <w:t xml:space="preserve"> </w:t>
            </w:r>
            <w:proofErr w:type="spellStart"/>
            <w:r w:rsidRPr="00366C16">
              <w:rPr>
                <w:rFonts w:ascii="Times New Roman" w:hAnsi="Times New Roman"/>
              </w:rPr>
              <w:t>farm</w:t>
            </w:r>
            <w:proofErr w:type="spellEnd"/>
            <w:r w:rsidRPr="00366C16">
              <w:rPr>
                <w:rFonts w:ascii="Times New Roman" w:hAnsi="Times New Roman"/>
              </w:rPr>
              <w:t>”</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4C4A93B" w14:textId="6186D0F0" w:rsidR="003D2715" w:rsidRPr="00366C16" w:rsidRDefault="003D2715" w:rsidP="00F608D4">
            <w:pPr>
              <w:spacing w:after="0" w:line="240" w:lineRule="auto"/>
              <w:jc w:val="center"/>
              <w:rPr>
                <w:rFonts w:ascii="Times New Roman" w:hAnsi="Times New Roman"/>
              </w:rPr>
            </w:pPr>
            <w:r w:rsidRPr="00366C16">
              <w:rPr>
                <w:rFonts w:ascii="Times New Roman" w:eastAsia="Times New Roman" w:hAnsi="Times New Roman"/>
                <w:lang w:eastAsia="lt-LT"/>
              </w:rPr>
              <w:t>500 000</w:t>
            </w:r>
          </w:p>
        </w:tc>
        <w:tc>
          <w:tcPr>
            <w:tcW w:w="10324" w:type="dxa"/>
            <w:tcBorders>
              <w:top w:val="single" w:sz="8" w:space="0" w:color="auto"/>
              <w:left w:val="nil"/>
              <w:bottom w:val="single" w:sz="8" w:space="0" w:color="auto"/>
              <w:right w:val="single" w:sz="8" w:space="0" w:color="auto"/>
            </w:tcBorders>
          </w:tcPr>
          <w:p w14:paraId="16E98C33" w14:textId="303484AE" w:rsidR="00366C16" w:rsidRPr="00366C16" w:rsidRDefault="00366C16" w:rsidP="00366C16">
            <w:pPr>
              <w:spacing w:after="0" w:line="240" w:lineRule="auto"/>
              <w:ind w:firstLine="323"/>
              <w:jc w:val="both"/>
              <w:rPr>
                <w:rFonts w:ascii="Times New Roman" w:hAnsi="Times New Roman"/>
                <w:color w:val="000000"/>
                <w:sz w:val="23"/>
                <w:szCs w:val="23"/>
                <w:shd w:val="clear" w:color="auto" w:fill="FFFFFF"/>
              </w:rPr>
            </w:pPr>
            <w:r w:rsidRPr="00366C16">
              <w:rPr>
                <w:rFonts w:ascii="Times New Roman" w:hAnsi="Times New Roman"/>
                <w:sz w:val="23"/>
                <w:szCs w:val="23"/>
              </w:rPr>
              <w:t>UAB „</w:t>
            </w:r>
            <w:proofErr w:type="spellStart"/>
            <w:r w:rsidRPr="00366C16">
              <w:rPr>
                <w:rFonts w:ascii="Times New Roman" w:hAnsi="Times New Roman"/>
                <w:sz w:val="23"/>
                <w:szCs w:val="23"/>
              </w:rPr>
              <w:t>Ebisu</w:t>
            </w:r>
            <w:proofErr w:type="spellEnd"/>
            <w:r w:rsidRPr="00366C16">
              <w:rPr>
                <w:rFonts w:ascii="Times New Roman" w:hAnsi="Times New Roman"/>
                <w:sz w:val="23"/>
                <w:szCs w:val="23"/>
              </w:rPr>
              <w:t xml:space="preserve"> </w:t>
            </w:r>
            <w:proofErr w:type="spellStart"/>
            <w:r w:rsidRPr="00366C16">
              <w:rPr>
                <w:rFonts w:ascii="Times New Roman" w:hAnsi="Times New Roman"/>
                <w:sz w:val="23"/>
                <w:szCs w:val="23"/>
              </w:rPr>
              <w:t>fish</w:t>
            </w:r>
            <w:proofErr w:type="spellEnd"/>
            <w:r w:rsidRPr="00366C16">
              <w:rPr>
                <w:rFonts w:ascii="Times New Roman" w:hAnsi="Times New Roman"/>
                <w:sz w:val="23"/>
                <w:szCs w:val="23"/>
              </w:rPr>
              <w:t xml:space="preserve"> </w:t>
            </w:r>
            <w:proofErr w:type="spellStart"/>
            <w:r w:rsidRPr="00366C16">
              <w:rPr>
                <w:rFonts w:ascii="Times New Roman" w:hAnsi="Times New Roman"/>
                <w:sz w:val="23"/>
                <w:szCs w:val="23"/>
              </w:rPr>
              <w:t>farm</w:t>
            </w:r>
            <w:proofErr w:type="spellEnd"/>
            <w:r w:rsidRPr="00366C16">
              <w:rPr>
                <w:rFonts w:ascii="Times New Roman" w:hAnsi="Times New Roman"/>
                <w:sz w:val="23"/>
                <w:szCs w:val="23"/>
              </w:rPr>
              <w:t>” (toliau – Pareiškėja) projektas „UAB „</w:t>
            </w:r>
            <w:proofErr w:type="spellStart"/>
            <w:r w:rsidRPr="00366C16">
              <w:rPr>
                <w:rFonts w:ascii="Times New Roman" w:hAnsi="Times New Roman"/>
                <w:sz w:val="23"/>
                <w:szCs w:val="23"/>
              </w:rPr>
              <w:t>Ebisu</w:t>
            </w:r>
            <w:proofErr w:type="spellEnd"/>
            <w:r w:rsidRPr="00366C16">
              <w:rPr>
                <w:rFonts w:ascii="Times New Roman" w:hAnsi="Times New Roman"/>
                <w:sz w:val="23"/>
                <w:szCs w:val="23"/>
              </w:rPr>
              <w:t xml:space="preserve"> </w:t>
            </w:r>
            <w:proofErr w:type="spellStart"/>
            <w:r w:rsidRPr="00366C16">
              <w:rPr>
                <w:rFonts w:ascii="Times New Roman" w:hAnsi="Times New Roman"/>
                <w:sz w:val="23"/>
                <w:szCs w:val="23"/>
              </w:rPr>
              <w:t>fish</w:t>
            </w:r>
            <w:proofErr w:type="spellEnd"/>
            <w:r w:rsidRPr="00366C16">
              <w:rPr>
                <w:rFonts w:ascii="Times New Roman" w:hAnsi="Times New Roman"/>
                <w:sz w:val="23"/>
                <w:szCs w:val="23"/>
              </w:rPr>
              <w:t xml:space="preserve"> </w:t>
            </w:r>
            <w:proofErr w:type="spellStart"/>
            <w:r w:rsidRPr="00366C16">
              <w:rPr>
                <w:rFonts w:ascii="Times New Roman" w:hAnsi="Times New Roman"/>
                <w:sz w:val="23"/>
                <w:szCs w:val="23"/>
              </w:rPr>
              <w:t>farm</w:t>
            </w:r>
            <w:proofErr w:type="spellEnd"/>
            <w:r w:rsidRPr="00366C16">
              <w:rPr>
                <w:rFonts w:ascii="Times New Roman" w:hAnsi="Times New Roman"/>
                <w:sz w:val="23"/>
                <w:szCs w:val="23"/>
              </w:rPr>
              <w:t xml:space="preserve">” (paraiška pateikta 2017 m. liepos 21 d., </w:t>
            </w:r>
            <w:proofErr w:type="spellStart"/>
            <w:r w:rsidRPr="00366C16">
              <w:rPr>
                <w:rFonts w:ascii="Times New Roman" w:hAnsi="Times New Roman"/>
                <w:sz w:val="23"/>
                <w:szCs w:val="23"/>
              </w:rPr>
              <w:t>reg</w:t>
            </w:r>
            <w:proofErr w:type="spellEnd"/>
            <w:r w:rsidRPr="00366C16">
              <w:rPr>
                <w:rFonts w:ascii="Times New Roman" w:hAnsi="Times New Roman"/>
                <w:sz w:val="23"/>
                <w:szCs w:val="23"/>
              </w:rPr>
              <w:t xml:space="preserve">. Nr. 48IA-KV-17-1-01838-PR001) (toliau – Paraiška) netinkamas gauti paramą pagal </w:t>
            </w:r>
            <w:r w:rsidRPr="00366C16">
              <w:rPr>
                <w:rFonts w:ascii="Times New Roman" w:hAnsi="Times New Roman"/>
                <w:color w:val="000000"/>
                <w:sz w:val="23"/>
                <w:szCs w:val="23"/>
                <w:shd w:val="clear" w:color="auto" w:fill="FFFFFF"/>
              </w:rPr>
              <w:t>Lietuvos žuvininkystės sektoriaus 2014–2020 metų veiksmų programos antrojo Sąjungos prioriteto „Aplinkosaugos požiūriu tvarios, efektyviai išteklius naudojančios, inovacinės, konkurencingos ir žiniomis grindžiamos akvakultūros skatinimas” priemonės „Produktyvios investicijos į akvakultūrą” įgyvendinimo taisykles</w:t>
            </w:r>
            <w:r w:rsidRPr="00366C16">
              <w:rPr>
                <w:rFonts w:ascii="Times New Roman" w:hAnsi="Times New Roman"/>
                <w:sz w:val="23"/>
                <w:szCs w:val="23"/>
              </w:rPr>
              <w:t xml:space="preserve">, </w:t>
            </w:r>
            <w:r w:rsidRPr="00366C16">
              <w:rPr>
                <w:rFonts w:ascii="Times New Roman" w:hAnsi="Times New Roman"/>
                <w:color w:val="000000"/>
                <w:sz w:val="23"/>
                <w:szCs w:val="23"/>
              </w:rPr>
              <w:t xml:space="preserve">patvirtintas Lietuvos Respublikos žemės ūkio ministro 2016 m. sausio 28 d. įsakymu Nr. 3D-36 „Dėl </w:t>
            </w:r>
            <w:r w:rsidRPr="00366C16">
              <w:rPr>
                <w:rFonts w:ascii="Times New Roman" w:hAnsi="Times New Roman"/>
                <w:color w:val="000000"/>
                <w:sz w:val="23"/>
                <w:szCs w:val="23"/>
                <w:shd w:val="clear" w:color="auto" w:fill="FFFFFF"/>
              </w:rPr>
              <w:t xml:space="preserve">Lietuvos žuvininkystės sektoriaus 2014–2020 metų veiksmų programos antrojo Sąjungos prioriteto „Aplinkosaugos požiūriu tvarios, efektyviai išteklius naudojančios, inovacinės, konkurencingos ir žiniomis grindžiamos akvakultūros skatinimas” priemonės „Produktyvios investicijos į akvakultūrą” </w:t>
            </w:r>
            <w:r w:rsidRPr="00366C16">
              <w:rPr>
                <w:rFonts w:ascii="Times New Roman" w:hAnsi="Times New Roman"/>
                <w:sz w:val="23"/>
                <w:szCs w:val="23"/>
              </w:rPr>
              <w:t>įgyvendinimo taisyklių</w:t>
            </w:r>
            <w:r w:rsidRPr="00366C16">
              <w:rPr>
                <w:rFonts w:ascii="Times New Roman" w:hAnsi="Times New Roman"/>
                <w:color w:val="000000"/>
                <w:sz w:val="23"/>
                <w:szCs w:val="23"/>
              </w:rPr>
              <w:t xml:space="preserve"> </w:t>
            </w:r>
            <w:r w:rsidRPr="00366C16">
              <w:rPr>
                <w:rFonts w:ascii="Times New Roman" w:hAnsi="Times New Roman"/>
                <w:sz w:val="23"/>
                <w:szCs w:val="23"/>
              </w:rPr>
              <w:t xml:space="preserve">patvirtinimo” (Lietuvos Respublikos žemės ūkio ministro 2017 m. birželio 22 d. įsakymo Nr. 3D-418 redakcija) (toliau – Taisyklės), nes neatitinka 26 punkte nustatyto tinkamumo gauti paramą kriterijus.                                                  Taisyklių </w:t>
            </w:r>
            <w:r w:rsidRPr="00366C16">
              <w:rPr>
                <w:rFonts w:ascii="Times New Roman" w:hAnsi="Times New Roman"/>
                <w:color w:val="000000"/>
                <w:sz w:val="23"/>
                <w:szCs w:val="23"/>
                <w:shd w:val="clear" w:color="auto" w:fill="FFFFFF"/>
              </w:rPr>
              <w:t>26 punkte nustatyta, jog pareiškėjas, teikdamas paramos paraišką, turi įrodyti, kad jis atitinka ir projekto įgyvendinimo metu bei projekto kontrolės laikotarpiu prognozuojami ekonominio gyvybingumo rodikliai atitinka ekonominio gyvybingumo kriterijus, nustatytus Ūkio subjektų, siekiančių pasinaudoti parama pagal Lietuvos žuvininkystės sektoriaus 2014–2020 metų veiksmų programos priemones, ekonominio gyvybingumo nustatymo taisyklėse, patvirtintose Lietuvos Respublikos žemės ūkio ministro 2015 m. lapkričio 24 d. įsakymu Nr. 3D-864 „Dėl Ūkio subjektų, siekiančių pasinaudoti parama pagal Lietuvos žuvininkystės sektoriaus 2014–2020 metų veiksmų programos priemones, ekonominio gyvybingumo nustatymo taisyklių patvirtinimo” (toliau – Ekonominio gyvybingumo taisyklės).</w:t>
            </w:r>
          </w:p>
          <w:p w14:paraId="18B433DB" w14:textId="77777777" w:rsidR="00366C16" w:rsidRPr="00366C16" w:rsidRDefault="00366C16" w:rsidP="00366C16">
            <w:pPr>
              <w:spacing w:after="0" w:line="240" w:lineRule="auto"/>
              <w:ind w:firstLine="323"/>
              <w:jc w:val="both"/>
              <w:rPr>
                <w:rFonts w:ascii="Times New Roman" w:hAnsi="Times New Roman"/>
                <w:color w:val="000000"/>
                <w:sz w:val="23"/>
                <w:szCs w:val="23"/>
              </w:rPr>
            </w:pPr>
            <w:r w:rsidRPr="00366C16">
              <w:rPr>
                <w:rFonts w:ascii="Times New Roman" w:hAnsi="Times New Roman"/>
                <w:color w:val="000000"/>
                <w:sz w:val="23"/>
                <w:szCs w:val="23"/>
                <w:shd w:val="clear" w:color="auto" w:fill="FFFFFF"/>
              </w:rPr>
              <w:lastRenderedPageBreak/>
              <w:t xml:space="preserve">Ekonominio gyvybingumo taisyklių 10 punkte nustatyta, jog </w:t>
            </w:r>
            <w:r w:rsidRPr="00366C16">
              <w:rPr>
                <w:rFonts w:ascii="Times New Roman" w:hAnsi="Times New Roman"/>
                <w:color w:val="000000"/>
                <w:sz w:val="23"/>
                <w:szCs w:val="23"/>
              </w:rPr>
              <w:t>ūkio subjekto vidinė grąžos norma turi atitikti taisyklių III skyriaus lentelėje nurodytą reikšmę. Ekonominio gyvybingumo taisyklių III skyriuje pateiktoje lentelėje nurodyta, jog priemonei „Produktyvios investicijos į akvakultūra” numatyta vidinės grąžos normos reikšmė yra ≥ 4,4 proc. Tų pačių taisyklių 7 punkte nustatyta, jog vidinė grąžos norma (toliau – VGN) skaičiuojama Microsoft Excel aplinkoje, naudojant funkciją IRR (</w:t>
            </w:r>
            <w:proofErr w:type="spellStart"/>
            <w:r w:rsidRPr="00366C16">
              <w:rPr>
                <w:rFonts w:ascii="Times New Roman" w:hAnsi="Times New Roman"/>
                <w:color w:val="000000"/>
                <w:sz w:val="23"/>
                <w:szCs w:val="23"/>
              </w:rPr>
              <w:t>Insert</w:t>
            </w:r>
            <w:proofErr w:type="spellEnd"/>
            <w:r w:rsidRPr="00366C16">
              <w:rPr>
                <w:rFonts w:ascii="Times New Roman" w:hAnsi="Times New Roman"/>
                <w:color w:val="000000"/>
                <w:sz w:val="23"/>
                <w:szCs w:val="23"/>
              </w:rPr>
              <w:t>/</w:t>
            </w:r>
            <w:proofErr w:type="spellStart"/>
            <w:r w:rsidRPr="00366C16">
              <w:rPr>
                <w:rFonts w:ascii="Times New Roman" w:hAnsi="Times New Roman"/>
                <w:color w:val="000000"/>
                <w:sz w:val="23"/>
                <w:szCs w:val="23"/>
              </w:rPr>
              <w:t>function</w:t>
            </w:r>
            <w:proofErr w:type="spellEnd"/>
            <w:r w:rsidRPr="00366C16">
              <w:rPr>
                <w:rFonts w:ascii="Times New Roman" w:hAnsi="Times New Roman"/>
                <w:color w:val="000000"/>
                <w:sz w:val="23"/>
                <w:szCs w:val="23"/>
              </w:rPr>
              <w:t>.../</w:t>
            </w:r>
            <w:proofErr w:type="spellStart"/>
            <w:r w:rsidRPr="00366C16">
              <w:rPr>
                <w:rFonts w:ascii="Times New Roman" w:hAnsi="Times New Roman"/>
                <w:color w:val="000000"/>
                <w:sz w:val="23"/>
                <w:szCs w:val="23"/>
              </w:rPr>
              <w:t>Or</w:t>
            </w:r>
            <w:proofErr w:type="spellEnd"/>
            <w:r w:rsidRPr="00366C16">
              <w:rPr>
                <w:rFonts w:ascii="Times New Roman" w:hAnsi="Times New Roman"/>
                <w:color w:val="000000"/>
                <w:sz w:val="23"/>
                <w:szCs w:val="23"/>
              </w:rPr>
              <w:t xml:space="preserve"> </w:t>
            </w:r>
            <w:proofErr w:type="spellStart"/>
            <w:r w:rsidRPr="00366C16">
              <w:rPr>
                <w:rFonts w:ascii="Times New Roman" w:hAnsi="Times New Roman"/>
                <w:color w:val="000000"/>
                <w:sz w:val="23"/>
                <w:szCs w:val="23"/>
              </w:rPr>
              <w:t>select</w:t>
            </w:r>
            <w:proofErr w:type="spellEnd"/>
            <w:r w:rsidRPr="00366C16">
              <w:rPr>
                <w:rFonts w:ascii="Times New Roman" w:hAnsi="Times New Roman"/>
                <w:color w:val="000000"/>
                <w:sz w:val="23"/>
                <w:szCs w:val="23"/>
              </w:rPr>
              <w:t xml:space="preserve"> a </w:t>
            </w:r>
            <w:proofErr w:type="spellStart"/>
            <w:r w:rsidRPr="00366C16">
              <w:rPr>
                <w:rFonts w:ascii="Times New Roman" w:hAnsi="Times New Roman"/>
                <w:color w:val="000000"/>
                <w:sz w:val="23"/>
                <w:szCs w:val="23"/>
              </w:rPr>
              <w:t>category</w:t>
            </w:r>
            <w:proofErr w:type="spellEnd"/>
            <w:r w:rsidRPr="00366C16">
              <w:rPr>
                <w:rFonts w:ascii="Times New Roman" w:hAnsi="Times New Roman"/>
                <w:color w:val="000000"/>
                <w:sz w:val="23"/>
                <w:szCs w:val="23"/>
              </w:rPr>
              <w:t xml:space="preserve">: Financial, </w:t>
            </w:r>
            <w:proofErr w:type="spellStart"/>
            <w:r w:rsidRPr="00366C16">
              <w:rPr>
                <w:rFonts w:ascii="Times New Roman" w:hAnsi="Times New Roman"/>
                <w:color w:val="000000"/>
                <w:sz w:val="23"/>
                <w:szCs w:val="23"/>
              </w:rPr>
              <w:t>Select</w:t>
            </w:r>
            <w:proofErr w:type="spellEnd"/>
            <w:r w:rsidRPr="00366C16">
              <w:rPr>
                <w:rFonts w:ascii="Times New Roman" w:hAnsi="Times New Roman"/>
                <w:color w:val="000000"/>
                <w:sz w:val="23"/>
                <w:szCs w:val="23"/>
              </w:rPr>
              <w:t xml:space="preserve"> a </w:t>
            </w:r>
            <w:proofErr w:type="spellStart"/>
            <w:r w:rsidRPr="00366C16">
              <w:rPr>
                <w:rFonts w:ascii="Times New Roman" w:hAnsi="Times New Roman"/>
                <w:color w:val="000000"/>
                <w:sz w:val="23"/>
                <w:szCs w:val="23"/>
              </w:rPr>
              <w:t>function</w:t>
            </w:r>
            <w:proofErr w:type="spellEnd"/>
            <w:r w:rsidRPr="00366C16">
              <w:rPr>
                <w:rFonts w:ascii="Times New Roman" w:hAnsi="Times New Roman"/>
                <w:color w:val="000000"/>
                <w:sz w:val="23"/>
                <w:szCs w:val="23"/>
              </w:rPr>
              <w:t>):</w:t>
            </w:r>
          </w:p>
          <w:p w14:paraId="54361C4B" w14:textId="77777777" w:rsidR="00366C16" w:rsidRPr="00366C16" w:rsidRDefault="00366C16" w:rsidP="00366C16">
            <w:pPr>
              <w:spacing w:after="0" w:line="240" w:lineRule="auto"/>
              <w:ind w:firstLine="323"/>
              <w:rPr>
                <w:rFonts w:ascii="Times New Roman" w:hAnsi="Times New Roman"/>
                <w:color w:val="000000"/>
                <w:sz w:val="23"/>
                <w:szCs w:val="23"/>
              </w:rPr>
            </w:pPr>
            <w:r w:rsidRPr="00366C16">
              <w:rPr>
                <w:rFonts w:ascii="Times New Roman" w:hAnsi="Times New Roman"/>
                <w:color w:val="000000"/>
                <w:sz w:val="23"/>
                <w:szCs w:val="23"/>
              </w:rPr>
              <w:t> </w:t>
            </w:r>
            <w:r w:rsidRPr="00366C16">
              <w:rPr>
                <w:rFonts w:ascii="Times New Roman" w:hAnsi="Times New Roman"/>
                <w:i/>
                <w:iCs/>
                <w:color w:val="000000"/>
                <w:sz w:val="23"/>
                <w:szCs w:val="23"/>
              </w:rPr>
              <w:t>VGN = IRR (-LV0; PS1; PS2;...PS7 + LV7)  </w:t>
            </w:r>
          </w:p>
          <w:p w14:paraId="3AE84AE1" w14:textId="77777777" w:rsidR="00366C16" w:rsidRPr="00366C16" w:rsidRDefault="00366C16" w:rsidP="00366C16">
            <w:pPr>
              <w:spacing w:after="0" w:line="240" w:lineRule="auto"/>
              <w:ind w:firstLine="323"/>
              <w:rPr>
                <w:rFonts w:ascii="Times New Roman" w:hAnsi="Times New Roman"/>
                <w:color w:val="000000"/>
                <w:sz w:val="23"/>
                <w:szCs w:val="23"/>
              </w:rPr>
            </w:pPr>
            <w:r w:rsidRPr="00366C16">
              <w:rPr>
                <w:rFonts w:ascii="Times New Roman" w:hAnsi="Times New Roman"/>
                <w:color w:val="000000"/>
                <w:sz w:val="23"/>
                <w:szCs w:val="23"/>
              </w:rPr>
              <w:t> </w:t>
            </w:r>
            <w:r w:rsidRPr="00366C16">
              <w:rPr>
                <w:rFonts w:ascii="Times New Roman" w:hAnsi="Times New Roman"/>
                <w:color w:val="000000"/>
                <w:spacing w:val="-6"/>
                <w:sz w:val="23"/>
                <w:szCs w:val="23"/>
              </w:rPr>
              <w:t>čia: LV0 – ūkio subjekto investuoto kapitalo vertė ataskaitinių metų pabaigoje (ilgalaikis turtas   (išskyrus finansinį turtą) + atsargos + biologinis turtas + gautinos prekybos skolos – skolos tiekėjams ir gauti išankstiniai apmokėjimai). Naujai įsteigto ūkio subjekto investuoto kapitalo vertė (LV0) skaičiuojama iš ataskaitinių metų finansinės atskaitomybės arba iš pradžios balanso, jeigu nėra ataskaitinių metų finansinės atskaitomybės;  </w:t>
            </w:r>
          </w:p>
          <w:p w14:paraId="7C8D6736" w14:textId="77777777" w:rsidR="00366C16" w:rsidRPr="00366C16" w:rsidRDefault="00366C16" w:rsidP="00366C16">
            <w:pPr>
              <w:spacing w:after="0" w:line="240" w:lineRule="auto"/>
              <w:ind w:firstLine="323"/>
              <w:rPr>
                <w:rFonts w:ascii="Times New Roman" w:hAnsi="Times New Roman"/>
                <w:color w:val="000000"/>
                <w:sz w:val="23"/>
                <w:szCs w:val="23"/>
              </w:rPr>
            </w:pPr>
            <w:r w:rsidRPr="00366C16">
              <w:rPr>
                <w:rFonts w:ascii="Times New Roman" w:hAnsi="Times New Roman"/>
                <w:color w:val="000000"/>
                <w:sz w:val="23"/>
                <w:szCs w:val="23"/>
              </w:rPr>
              <w:t> </w:t>
            </w:r>
            <w:r w:rsidRPr="00366C16">
              <w:rPr>
                <w:rFonts w:ascii="Times New Roman" w:hAnsi="Times New Roman"/>
                <w:i/>
                <w:iCs/>
                <w:color w:val="000000"/>
                <w:sz w:val="23"/>
                <w:szCs w:val="23"/>
              </w:rPr>
              <w:t>PS1; PS2;... PS7</w:t>
            </w:r>
            <w:r w:rsidRPr="00366C16">
              <w:rPr>
                <w:rFonts w:ascii="Times New Roman" w:hAnsi="Times New Roman"/>
                <w:color w:val="000000"/>
                <w:sz w:val="23"/>
                <w:szCs w:val="23"/>
              </w:rPr>
              <w:t> – ūkio subjekto planuojamų metų pagrindinės veiklos pinigų srautų ir investicinės veiklos pinigų srautų suma eurais; </w:t>
            </w:r>
          </w:p>
          <w:p w14:paraId="57BD7BC6" w14:textId="77777777" w:rsidR="00366C16" w:rsidRPr="00366C16" w:rsidRDefault="00366C16" w:rsidP="00366C16">
            <w:pPr>
              <w:spacing w:after="0" w:line="240" w:lineRule="auto"/>
              <w:ind w:firstLine="323"/>
              <w:rPr>
                <w:rFonts w:ascii="Times New Roman" w:hAnsi="Times New Roman"/>
                <w:color w:val="000000"/>
                <w:sz w:val="23"/>
                <w:szCs w:val="23"/>
              </w:rPr>
            </w:pPr>
            <w:r w:rsidRPr="00366C16">
              <w:rPr>
                <w:rFonts w:ascii="Times New Roman" w:hAnsi="Times New Roman"/>
                <w:color w:val="000000"/>
                <w:sz w:val="23"/>
                <w:szCs w:val="23"/>
              </w:rPr>
              <w:t> </w:t>
            </w:r>
            <w:r w:rsidRPr="00366C16">
              <w:rPr>
                <w:rFonts w:ascii="Times New Roman" w:hAnsi="Times New Roman"/>
                <w:i/>
                <w:iCs/>
                <w:color w:val="000000"/>
                <w:sz w:val="23"/>
                <w:szCs w:val="23"/>
              </w:rPr>
              <w:t>LV7</w:t>
            </w:r>
            <w:r w:rsidRPr="00366C16">
              <w:rPr>
                <w:rFonts w:ascii="Times New Roman" w:hAnsi="Times New Roman"/>
                <w:color w:val="000000"/>
                <w:sz w:val="23"/>
                <w:szCs w:val="23"/>
              </w:rPr>
              <w:t> – ūkio subjekto investuoto kapitalo vertė eurais septintaisiais planuojamais metais (skaičiuojama analogiškai kaip LV0, iš prognozuojamųjų metų balanso).</w:t>
            </w:r>
          </w:p>
          <w:p w14:paraId="1B425032" w14:textId="77777777" w:rsidR="00366C16" w:rsidRPr="00366C16" w:rsidRDefault="00366C16" w:rsidP="00366C16">
            <w:pPr>
              <w:spacing w:after="0" w:line="240" w:lineRule="auto"/>
              <w:ind w:firstLine="323"/>
              <w:jc w:val="both"/>
              <w:rPr>
                <w:rFonts w:ascii="Times New Roman" w:hAnsi="Times New Roman"/>
                <w:color w:val="000000"/>
                <w:sz w:val="23"/>
                <w:szCs w:val="23"/>
                <w:shd w:val="clear" w:color="auto" w:fill="FFFFFF"/>
              </w:rPr>
            </w:pPr>
            <w:r w:rsidRPr="00366C16">
              <w:rPr>
                <w:rFonts w:ascii="Times New Roman" w:hAnsi="Times New Roman"/>
                <w:color w:val="000000"/>
                <w:sz w:val="23"/>
                <w:szCs w:val="23"/>
                <w:shd w:val="clear" w:color="auto" w:fill="FFFFFF"/>
              </w:rPr>
              <w:t>Lietuvos žuvininkystės sektoriaus 2014–2020 metų veiksmų programos administravimo taisyklių, patvirtintų Lietuvos Respublikos žemės ūkio ministro 2015 m. vasario 9 d. įsakymu Nr. 3D-75 „Dėl Lietuvos žuvininkystės sektoriaus 2014–2020 metų veiksmų programos administravimo taisyklių patvirtinimo” 71 punkte numatyta, jog, iškilus klausimams, susijusiems su paramos paraiškos vertinimu ir (arba) projekto vykdymu ar pareiškėjo veikla, pareiškėjo gali būti paprašyta pateikti papildomų dokumentų.</w:t>
            </w:r>
          </w:p>
          <w:p w14:paraId="5A0B4BE7" w14:textId="77777777" w:rsidR="00366C16" w:rsidRPr="00366C16" w:rsidRDefault="00366C16" w:rsidP="00366C16">
            <w:pPr>
              <w:spacing w:after="0" w:line="240" w:lineRule="auto"/>
              <w:ind w:firstLine="323"/>
              <w:jc w:val="both"/>
              <w:rPr>
                <w:rFonts w:ascii="Times New Roman" w:hAnsi="Times New Roman"/>
                <w:sz w:val="23"/>
                <w:szCs w:val="23"/>
              </w:rPr>
            </w:pPr>
            <w:r w:rsidRPr="00366C16">
              <w:rPr>
                <w:rFonts w:ascii="Times New Roman" w:hAnsi="Times New Roman"/>
                <w:sz w:val="23"/>
                <w:szCs w:val="23"/>
              </w:rPr>
              <w:t xml:space="preserve">Paraiškos vertinimo metu nustatyta, jog Pareiškėja verslo plane yra numačiusi per mažas veiklos sąnaudas, vadovaujantis </w:t>
            </w:r>
            <w:r w:rsidRPr="00366C16">
              <w:rPr>
                <w:rFonts w:ascii="Times New Roman" w:hAnsi="Times New Roman"/>
                <w:color w:val="000000"/>
                <w:sz w:val="23"/>
                <w:szCs w:val="23"/>
                <w:shd w:val="clear" w:color="auto" w:fill="FFFFFF"/>
              </w:rPr>
              <w:t>Lietuvos žuvininkystės sektoriaus 2014–2020 metų veiksmų programos administravimo taisyklių, patvirtintų Lietuvos Respublikos žemės ūkio ministro 2015 m. vasario 9 d. įsakymu Nr. 3D-75 „Dėl Lietuvos žuvininkystės sektoriaus 2014–2020 metų veiksmų programos administravimo taisyklių patvirtinimo“ 71 punktu,</w:t>
            </w:r>
            <w:r w:rsidRPr="00366C16">
              <w:rPr>
                <w:rFonts w:ascii="Times New Roman" w:hAnsi="Times New Roman"/>
                <w:sz w:val="23"/>
                <w:szCs w:val="23"/>
              </w:rPr>
              <w:t xml:space="preserve"> 2017 m. gruodžio 7 d. el. paklausimu buvo paprašyta detaliai pagrįsti verslo plane prognozuojamas įmonės veiklos sąnaudų finansines prielaidas, ir, jei reikia, patikslinti susijusias verslo plano lenteles, prognozuojamas finansines ataskaitas (balansas, pelno (nuostolių) ataskaita, pinigų srautų ataskaita), perskaičiuoti ekonominio gyvybingumo rodiklius ir įrodyti, jog įmonė atitinka ir atitiks ekonominio gyvybingumo rodiklius.</w:t>
            </w:r>
          </w:p>
          <w:p w14:paraId="7E6BD087" w14:textId="77777777" w:rsidR="00366C16" w:rsidRPr="00366C16" w:rsidRDefault="00366C16" w:rsidP="00366C16">
            <w:pPr>
              <w:spacing w:after="0" w:line="240" w:lineRule="auto"/>
              <w:ind w:firstLine="323"/>
              <w:rPr>
                <w:rFonts w:ascii="Times New Roman" w:hAnsi="Times New Roman"/>
                <w:sz w:val="23"/>
                <w:szCs w:val="23"/>
              </w:rPr>
            </w:pPr>
            <w:r w:rsidRPr="00366C16">
              <w:rPr>
                <w:rFonts w:ascii="Times New Roman" w:hAnsi="Times New Roman"/>
                <w:sz w:val="23"/>
                <w:szCs w:val="23"/>
              </w:rPr>
              <w:t>Pareiškėja 2017 m. gruodžio 8 d. raštu, pateikė patikslintą verslo planą, pagal kurį nustatyta, jog:</w:t>
            </w:r>
          </w:p>
          <w:p w14:paraId="092BD5AA" w14:textId="77777777" w:rsidR="00366C16" w:rsidRPr="00366C16" w:rsidRDefault="00366C16" w:rsidP="00366C16">
            <w:pPr>
              <w:numPr>
                <w:ilvl w:val="0"/>
                <w:numId w:val="4"/>
              </w:numPr>
              <w:tabs>
                <w:tab w:val="left" w:pos="285"/>
              </w:tabs>
              <w:spacing w:after="0" w:line="240" w:lineRule="auto"/>
              <w:ind w:left="0" w:firstLine="323"/>
              <w:contextualSpacing/>
              <w:jc w:val="both"/>
              <w:rPr>
                <w:rFonts w:ascii="Times New Roman" w:hAnsi="Times New Roman"/>
                <w:sz w:val="23"/>
                <w:szCs w:val="23"/>
                <w:lang w:eastAsia="lt-LT"/>
              </w:rPr>
            </w:pPr>
            <w:r w:rsidRPr="00366C16">
              <w:rPr>
                <w:rFonts w:ascii="Times New Roman" w:hAnsi="Times New Roman"/>
                <w:sz w:val="23"/>
                <w:szCs w:val="23"/>
                <w:lang w:eastAsia="lt-LT"/>
              </w:rPr>
              <w:t>pelno (nuostolių) prognozėse II skyriuje „Pardavimo savikaina“ apskaitoma ilgalaikio turto amortizacija, sumažinta įsigyjamo turto paramos amortizacija, tačiau pinigų srautų prognozėse 1.2 punkte „Nusidėvėjimo ir amortizacijos sąnaudos“ apskaitoma ilgalaikio turto amortizacija, kuri nėra sumažinta įsigyjamo turto paramos amortizacija, ko pasėkoje pinigų srautų prognozės sudarytos nekorektiškai, kas įtakoja ir ekonominio gyvybingumo rodiklių reikšmes;</w:t>
            </w:r>
          </w:p>
          <w:p w14:paraId="71B08FBB" w14:textId="77777777" w:rsidR="00366C16" w:rsidRPr="00366C16" w:rsidRDefault="00366C16" w:rsidP="00366C16">
            <w:pPr>
              <w:numPr>
                <w:ilvl w:val="0"/>
                <w:numId w:val="4"/>
              </w:numPr>
              <w:tabs>
                <w:tab w:val="left" w:pos="285"/>
              </w:tabs>
              <w:spacing w:after="0" w:line="240" w:lineRule="auto"/>
              <w:ind w:left="0" w:firstLine="323"/>
              <w:contextualSpacing/>
              <w:jc w:val="both"/>
              <w:rPr>
                <w:rFonts w:ascii="Times New Roman" w:hAnsi="Times New Roman"/>
                <w:sz w:val="23"/>
                <w:szCs w:val="23"/>
                <w:lang w:eastAsia="lt-LT"/>
              </w:rPr>
            </w:pPr>
            <w:r w:rsidRPr="00366C16">
              <w:rPr>
                <w:rFonts w:ascii="Times New Roman" w:hAnsi="Times New Roman"/>
                <w:sz w:val="23"/>
                <w:szCs w:val="23"/>
                <w:lang w:eastAsia="lt-LT"/>
              </w:rPr>
              <w:t>pinigų srautų prognozėse 1.18 punkte „Finansinės ir investicinės veiklos rezultatų pašalinimas“ nėra apskaitomos paskolos palūkanos.</w:t>
            </w:r>
          </w:p>
          <w:p w14:paraId="5ABACBF2" w14:textId="4EF03DD5" w:rsidR="00366C16" w:rsidRPr="00366C16" w:rsidRDefault="00366C16" w:rsidP="00366C16">
            <w:pPr>
              <w:spacing w:after="0" w:line="240" w:lineRule="auto"/>
              <w:ind w:firstLine="323"/>
              <w:jc w:val="both"/>
              <w:rPr>
                <w:rFonts w:ascii="Times New Roman" w:hAnsi="Times New Roman"/>
                <w:color w:val="000000"/>
                <w:sz w:val="23"/>
                <w:szCs w:val="23"/>
              </w:rPr>
            </w:pPr>
            <w:r w:rsidRPr="00366C16">
              <w:rPr>
                <w:rFonts w:ascii="Times New Roman" w:hAnsi="Times New Roman"/>
                <w:bCs/>
                <w:sz w:val="23"/>
                <w:szCs w:val="23"/>
              </w:rPr>
              <w:lastRenderedPageBreak/>
              <w:t xml:space="preserve">Atsižvelgiant į tai, 2017 m. gruodžio 18 d. paklausimu Nr. BR6-13173 „Dėl reikiamų dokumentų pateikimo / duomenų tikslinimo” Pareiškėjos buvo </w:t>
            </w:r>
            <w:r w:rsidRPr="00366C16">
              <w:rPr>
                <w:rFonts w:ascii="Times New Roman" w:hAnsi="Times New Roman"/>
                <w:color w:val="000000"/>
                <w:sz w:val="23"/>
                <w:szCs w:val="23"/>
                <w:shd w:val="clear" w:color="auto" w:fill="FFFFFF"/>
              </w:rPr>
              <w:t xml:space="preserve">paprašyta ištaisyti prognozinėse finansinėse ataskaitose (pelno (nuostolių) ataskaita, balansas, pinigų srautų ataskaita) esančius trūkumus, perskaičiuoti ekonominio gyvybingumo rodiklius pagal Ekonominio gyvybingumo taisyklės ir įrodyti, jog ji atitinka ir atitiks ekonominio gyvybingumo </w:t>
            </w:r>
            <w:proofErr w:type="spellStart"/>
            <w:r w:rsidRPr="00366C16">
              <w:rPr>
                <w:rFonts w:ascii="Times New Roman" w:hAnsi="Times New Roman"/>
                <w:color w:val="000000"/>
                <w:sz w:val="23"/>
                <w:szCs w:val="23"/>
                <w:shd w:val="clear" w:color="auto" w:fill="FFFFFF"/>
              </w:rPr>
              <w:t>rodiklius.</w:t>
            </w:r>
            <w:r w:rsidRPr="00366C16">
              <w:rPr>
                <w:rFonts w:ascii="Times New Roman" w:hAnsi="Times New Roman"/>
                <w:bCs/>
                <w:sz w:val="23"/>
                <w:szCs w:val="23"/>
              </w:rPr>
              <w:t>Pareiškėja</w:t>
            </w:r>
            <w:proofErr w:type="spellEnd"/>
            <w:r w:rsidRPr="00366C16">
              <w:rPr>
                <w:rFonts w:ascii="Times New Roman" w:hAnsi="Times New Roman"/>
                <w:bCs/>
                <w:sz w:val="23"/>
                <w:szCs w:val="23"/>
              </w:rPr>
              <w:t xml:space="preserve"> 2017 m. gruodžio 20 d. raštu pateikė patikslintas finansines ataskaitas, pagal kurias nustatyta jog VGN reikšmė yra 2,32 proc. ir neatitinka Ekonominio gyvybingumo taisyklių III skyriuje nurodytos priemonei </w:t>
            </w:r>
            <w:r w:rsidRPr="00366C16">
              <w:rPr>
                <w:rFonts w:ascii="Times New Roman" w:hAnsi="Times New Roman"/>
                <w:color w:val="000000"/>
                <w:sz w:val="23"/>
                <w:szCs w:val="23"/>
              </w:rPr>
              <w:t>„Produktyvios investicijos į akvakultūrą” nustatytos reikšmės ( ≥ 4,4 proc.).</w:t>
            </w:r>
          </w:p>
          <w:p w14:paraId="4B2EE691" w14:textId="77777777" w:rsidR="00366C16" w:rsidRPr="00366C16" w:rsidRDefault="00366C16" w:rsidP="00366C16">
            <w:pPr>
              <w:spacing w:after="0" w:line="240" w:lineRule="auto"/>
              <w:ind w:firstLine="323"/>
              <w:rPr>
                <w:rFonts w:ascii="Times New Roman" w:hAnsi="Times New Roman"/>
                <w:color w:val="000000"/>
                <w:sz w:val="23"/>
                <w:szCs w:val="23"/>
              </w:rPr>
            </w:pPr>
            <w:r w:rsidRPr="00366C16">
              <w:rPr>
                <w:rFonts w:ascii="Times New Roman" w:hAnsi="Times New Roman"/>
                <w:color w:val="000000"/>
                <w:sz w:val="23"/>
                <w:szCs w:val="23"/>
              </w:rPr>
              <w:t>Žemiau pateikiama Pareiškėjos Paraiškos VGN apskaičiavimo tvarka:</w:t>
            </w:r>
          </w:p>
          <w:tbl>
            <w:tblPr>
              <w:tblW w:w="9981" w:type="dxa"/>
              <w:tblLayout w:type="fixed"/>
              <w:tblLook w:val="04A0" w:firstRow="1" w:lastRow="0" w:firstColumn="1" w:lastColumn="0" w:noHBand="0" w:noVBand="1"/>
            </w:tblPr>
            <w:tblGrid>
              <w:gridCol w:w="661"/>
              <w:gridCol w:w="780"/>
              <w:gridCol w:w="780"/>
              <w:gridCol w:w="106"/>
              <w:gridCol w:w="1276"/>
              <w:gridCol w:w="1134"/>
              <w:gridCol w:w="674"/>
              <w:gridCol w:w="460"/>
              <w:gridCol w:w="573"/>
              <w:gridCol w:w="419"/>
              <w:gridCol w:w="609"/>
              <w:gridCol w:w="525"/>
              <w:gridCol w:w="467"/>
              <w:gridCol w:w="525"/>
              <w:gridCol w:w="493"/>
              <w:gridCol w:w="499"/>
            </w:tblGrid>
            <w:tr w:rsidR="00366C16" w:rsidRPr="00366C16" w14:paraId="16975932" w14:textId="77777777" w:rsidTr="008768A3">
              <w:trPr>
                <w:trHeight w:val="300"/>
              </w:trPr>
              <w:tc>
                <w:tcPr>
                  <w:tcW w:w="2327" w:type="dxa"/>
                  <w:gridSpan w:val="4"/>
                  <w:tcBorders>
                    <w:top w:val="nil"/>
                    <w:left w:val="nil"/>
                    <w:bottom w:val="single" w:sz="4" w:space="0" w:color="auto"/>
                    <w:right w:val="single" w:sz="4" w:space="0" w:color="auto"/>
                  </w:tcBorders>
                  <w:noWrap/>
                  <w:vAlign w:val="bottom"/>
                  <w:hideMark/>
                </w:tcPr>
                <w:p w14:paraId="615038D7" w14:textId="77777777" w:rsidR="00366C16" w:rsidRPr="00366C16" w:rsidRDefault="00366C16" w:rsidP="00366C16">
                  <w:pPr>
                    <w:spacing w:after="0" w:line="259" w:lineRule="auto"/>
                    <w:jc w:val="center"/>
                    <w:rPr>
                      <w:rFonts w:ascii="Times New Roman" w:hAnsi="Times New Roman"/>
                      <w:b/>
                      <w:bCs/>
                      <w:i/>
                      <w:iCs/>
                      <w:color w:val="000000"/>
                      <w:sz w:val="20"/>
                      <w:lang w:eastAsia="lt-LT"/>
                    </w:rPr>
                  </w:pPr>
                  <w:r w:rsidRPr="00366C16">
                    <w:rPr>
                      <w:rFonts w:ascii="Times New Roman" w:hAnsi="Times New Roman"/>
                      <w:b/>
                      <w:bCs/>
                      <w:i/>
                      <w:iCs/>
                      <w:color w:val="000000"/>
                      <w:sz w:val="20"/>
                      <w:lang w:eastAsia="lt-LT"/>
                    </w:rPr>
                    <w:t> </w:t>
                  </w:r>
                </w:p>
              </w:tc>
              <w:tc>
                <w:tcPr>
                  <w:tcW w:w="1276" w:type="dxa"/>
                  <w:tcBorders>
                    <w:top w:val="single" w:sz="4" w:space="0" w:color="auto"/>
                    <w:left w:val="nil"/>
                    <w:bottom w:val="single" w:sz="4" w:space="0" w:color="auto"/>
                    <w:right w:val="single" w:sz="4" w:space="0" w:color="auto"/>
                  </w:tcBorders>
                  <w:noWrap/>
                  <w:vAlign w:val="bottom"/>
                  <w:hideMark/>
                </w:tcPr>
                <w:p w14:paraId="5DA18D16" w14:textId="77777777" w:rsidR="00366C16" w:rsidRPr="00366C16" w:rsidRDefault="00366C16" w:rsidP="00366C16">
                  <w:pPr>
                    <w:spacing w:after="0" w:line="259" w:lineRule="auto"/>
                    <w:jc w:val="right"/>
                    <w:rPr>
                      <w:rFonts w:ascii="Times New Roman" w:hAnsi="Times New Roman"/>
                      <w:b/>
                      <w:color w:val="000000"/>
                      <w:sz w:val="20"/>
                      <w:lang w:eastAsia="lt-LT"/>
                    </w:rPr>
                  </w:pPr>
                  <w:r w:rsidRPr="00366C16">
                    <w:rPr>
                      <w:rFonts w:ascii="Times New Roman" w:hAnsi="Times New Roman"/>
                      <w:b/>
                      <w:color w:val="000000"/>
                      <w:sz w:val="20"/>
                      <w:lang w:eastAsia="lt-LT"/>
                    </w:rPr>
                    <w:t>2017-07-21</w:t>
                  </w:r>
                </w:p>
              </w:tc>
              <w:tc>
                <w:tcPr>
                  <w:tcW w:w="1134" w:type="dxa"/>
                  <w:tcBorders>
                    <w:top w:val="single" w:sz="4" w:space="0" w:color="auto"/>
                    <w:left w:val="nil"/>
                    <w:bottom w:val="single" w:sz="4" w:space="0" w:color="auto"/>
                    <w:right w:val="single" w:sz="4" w:space="0" w:color="auto"/>
                  </w:tcBorders>
                  <w:noWrap/>
                  <w:vAlign w:val="bottom"/>
                  <w:hideMark/>
                </w:tcPr>
                <w:p w14:paraId="19AE5DEF" w14:textId="77777777" w:rsidR="00366C16" w:rsidRPr="00366C16" w:rsidRDefault="00366C16" w:rsidP="00366C16">
                  <w:pPr>
                    <w:spacing w:after="0" w:line="259" w:lineRule="auto"/>
                    <w:jc w:val="right"/>
                    <w:rPr>
                      <w:rFonts w:ascii="Times New Roman" w:hAnsi="Times New Roman"/>
                      <w:b/>
                      <w:color w:val="000000"/>
                      <w:sz w:val="20"/>
                      <w:lang w:eastAsia="lt-LT"/>
                    </w:rPr>
                  </w:pPr>
                  <w:r w:rsidRPr="00366C16">
                    <w:rPr>
                      <w:rFonts w:ascii="Times New Roman" w:hAnsi="Times New Roman"/>
                      <w:b/>
                      <w:color w:val="000000"/>
                      <w:sz w:val="20"/>
                      <w:lang w:eastAsia="lt-LT"/>
                    </w:rPr>
                    <w:t>2023</w:t>
                  </w:r>
                </w:p>
              </w:tc>
              <w:tc>
                <w:tcPr>
                  <w:tcW w:w="1134" w:type="dxa"/>
                  <w:gridSpan w:val="2"/>
                  <w:noWrap/>
                  <w:vAlign w:val="bottom"/>
                  <w:hideMark/>
                </w:tcPr>
                <w:p w14:paraId="5156649A" w14:textId="77777777" w:rsidR="00366C16" w:rsidRPr="00366C16" w:rsidRDefault="00366C16" w:rsidP="00366C16">
                  <w:pPr>
                    <w:spacing w:after="0" w:line="259" w:lineRule="auto"/>
                    <w:rPr>
                      <w:rFonts w:ascii="Times New Roman" w:hAnsi="Times New Roman"/>
                      <w:color w:val="000000"/>
                      <w:sz w:val="20"/>
                      <w:lang w:eastAsia="lt-LT"/>
                    </w:rPr>
                  </w:pPr>
                </w:p>
              </w:tc>
              <w:tc>
                <w:tcPr>
                  <w:tcW w:w="992" w:type="dxa"/>
                  <w:gridSpan w:val="2"/>
                  <w:noWrap/>
                  <w:vAlign w:val="bottom"/>
                  <w:hideMark/>
                </w:tcPr>
                <w:p w14:paraId="7A5E4C6C" w14:textId="77777777" w:rsidR="00366C16" w:rsidRPr="00366C16" w:rsidRDefault="00366C16" w:rsidP="00366C16">
                  <w:pPr>
                    <w:spacing w:after="0" w:line="259" w:lineRule="auto"/>
                    <w:rPr>
                      <w:rFonts w:ascii="Times New Roman" w:hAnsi="Times New Roman"/>
                      <w:sz w:val="20"/>
                      <w:lang w:eastAsia="lt-LT"/>
                    </w:rPr>
                  </w:pPr>
                </w:p>
              </w:tc>
              <w:tc>
                <w:tcPr>
                  <w:tcW w:w="1134" w:type="dxa"/>
                  <w:gridSpan w:val="2"/>
                  <w:noWrap/>
                  <w:vAlign w:val="bottom"/>
                  <w:hideMark/>
                </w:tcPr>
                <w:p w14:paraId="0EA6BB55" w14:textId="77777777" w:rsidR="00366C16" w:rsidRPr="00366C16" w:rsidRDefault="00366C16" w:rsidP="00366C16">
                  <w:pPr>
                    <w:spacing w:after="0" w:line="259" w:lineRule="auto"/>
                    <w:rPr>
                      <w:rFonts w:ascii="Times New Roman" w:hAnsi="Times New Roman"/>
                      <w:sz w:val="20"/>
                      <w:lang w:eastAsia="lt-LT"/>
                    </w:rPr>
                  </w:pPr>
                </w:p>
              </w:tc>
              <w:tc>
                <w:tcPr>
                  <w:tcW w:w="992" w:type="dxa"/>
                  <w:gridSpan w:val="2"/>
                  <w:noWrap/>
                  <w:vAlign w:val="bottom"/>
                  <w:hideMark/>
                </w:tcPr>
                <w:p w14:paraId="2D6D552A" w14:textId="77777777" w:rsidR="00366C16" w:rsidRPr="00366C16" w:rsidRDefault="00366C16" w:rsidP="00366C16">
                  <w:pPr>
                    <w:spacing w:after="0" w:line="259" w:lineRule="auto"/>
                    <w:rPr>
                      <w:rFonts w:ascii="Times New Roman" w:hAnsi="Times New Roman"/>
                      <w:sz w:val="20"/>
                      <w:lang w:eastAsia="lt-LT"/>
                    </w:rPr>
                  </w:pPr>
                </w:p>
              </w:tc>
              <w:tc>
                <w:tcPr>
                  <w:tcW w:w="992" w:type="dxa"/>
                  <w:gridSpan w:val="2"/>
                  <w:noWrap/>
                  <w:vAlign w:val="bottom"/>
                  <w:hideMark/>
                </w:tcPr>
                <w:p w14:paraId="56690951" w14:textId="77777777" w:rsidR="00366C16" w:rsidRPr="00366C16" w:rsidRDefault="00366C16" w:rsidP="00366C16">
                  <w:pPr>
                    <w:spacing w:after="0" w:line="259" w:lineRule="auto"/>
                    <w:rPr>
                      <w:rFonts w:ascii="Times New Roman" w:hAnsi="Times New Roman"/>
                      <w:sz w:val="20"/>
                      <w:lang w:eastAsia="lt-LT"/>
                    </w:rPr>
                  </w:pPr>
                </w:p>
              </w:tc>
            </w:tr>
            <w:tr w:rsidR="00366C16" w:rsidRPr="00366C16" w14:paraId="11F8905C" w14:textId="77777777" w:rsidTr="008768A3">
              <w:trPr>
                <w:trHeight w:val="525"/>
              </w:trPr>
              <w:tc>
                <w:tcPr>
                  <w:tcW w:w="2327" w:type="dxa"/>
                  <w:gridSpan w:val="4"/>
                  <w:tcBorders>
                    <w:top w:val="nil"/>
                    <w:left w:val="single" w:sz="4" w:space="0" w:color="auto"/>
                    <w:bottom w:val="single" w:sz="4" w:space="0" w:color="auto"/>
                    <w:right w:val="nil"/>
                  </w:tcBorders>
                  <w:vAlign w:val="bottom"/>
                  <w:hideMark/>
                </w:tcPr>
                <w:p w14:paraId="474594CD" w14:textId="77777777" w:rsidR="00366C16" w:rsidRPr="00366C16" w:rsidRDefault="00366C16" w:rsidP="00366C16">
                  <w:pPr>
                    <w:spacing w:after="0" w:line="259" w:lineRule="auto"/>
                    <w:rPr>
                      <w:rFonts w:ascii="Times New Roman" w:hAnsi="Times New Roman"/>
                      <w:color w:val="000000"/>
                      <w:sz w:val="20"/>
                      <w:lang w:eastAsia="lt-LT"/>
                    </w:rPr>
                  </w:pPr>
                  <w:r w:rsidRPr="00366C16">
                    <w:rPr>
                      <w:rFonts w:ascii="Times New Roman" w:hAnsi="Times New Roman"/>
                      <w:color w:val="000000"/>
                      <w:sz w:val="20"/>
                      <w:lang w:eastAsia="lt-LT"/>
                    </w:rPr>
                    <w:t>Ilgalaikis turtas (išskyrus finansinį turtą)</w:t>
                  </w:r>
                </w:p>
              </w:tc>
              <w:tc>
                <w:tcPr>
                  <w:tcW w:w="1276" w:type="dxa"/>
                  <w:tcBorders>
                    <w:top w:val="nil"/>
                    <w:left w:val="single" w:sz="4" w:space="0" w:color="auto"/>
                    <w:bottom w:val="single" w:sz="4" w:space="0" w:color="auto"/>
                    <w:right w:val="single" w:sz="4" w:space="0" w:color="auto"/>
                  </w:tcBorders>
                  <w:noWrap/>
                  <w:vAlign w:val="bottom"/>
                  <w:hideMark/>
                </w:tcPr>
                <w:p w14:paraId="536A5ACE" w14:textId="77777777" w:rsidR="00366C16" w:rsidRPr="00366C16" w:rsidRDefault="00366C16" w:rsidP="00366C16">
                  <w:pPr>
                    <w:spacing w:after="0" w:line="259" w:lineRule="auto"/>
                    <w:jc w:val="right"/>
                    <w:rPr>
                      <w:rFonts w:ascii="Times New Roman" w:hAnsi="Times New Roman"/>
                      <w:color w:val="000000"/>
                      <w:sz w:val="20"/>
                      <w:lang w:eastAsia="lt-LT"/>
                    </w:rPr>
                  </w:pPr>
                  <w:r w:rsidRPr="00366C16">
                    <w:rPr>
                      <w:rFonts w:ascii="Times New Roman" w:hAnsi="Times New Roman"/>
                      <w:color w:val="000000"/>
                      <w:sz w:val="20"/>
                      <w:lang w:eastAsia="lt-LT"/>
                    </w:rPr>
                    <w:t>0</w:t>
                  </w:r>
                </w:p>
              </w:tc>
              <w:tc>
                <w:tcPr>
                  <w:tcW w:w="1134" w:type="dxa"/>
                  <w:tcBorders>
                    <w:top w:val="nil"/>
                    <w:left w:val="nil"/>
                    <w:bottom w:val="single" w:sz="4" w:space="0" w:color="auto"/>
                    <w:right w:val="single" w:sz="4" w:space="0" w:color="auto"/>
                  </w:tcBorders>
                  <w:noWrap/>
                  <w:vAlign w:val="bottom"/>
                  <w:hideMark/>
                </w:tcPr>
                <w:p w14:paraId="322A84FA" w14:textId="77777777" w:rsidR="00366C16" w:rsidRPr="00366C16" w:rsidRDefault="00366C16" w:rsidP="00366C16">
                  <w:pPr>
                    <w:spacing w:after="0" w:line="259" w:lineRule="auto"/>
                    <w:jc w:val="right"/>
                    <w:rPr>
                      <w:rFonts w:ascii="Times New Roman" w:hAnsi="Times New Roman"/>
                      <w:color w:val="000000"/>
                      <w:sz w:val="20"/>
                      <w:lang w:eastAsia="lt-LT"/>
                    </w:rPr>
                  </w:pPr>
                  <w:r w:rsidRPr="00366C16">
                    <w:rPr>
                      <w:rFonts w:ascii="Times New Roman" w:hAnsi="Times New Roman"/>
                      <w:color w:val="000000"/>
                      <w:sz w:val="20"/>
                      <w:lang w:eastAsia="lt-LT"/>
                    </w:rPr>
                    <w:t>281 000</w:t>
                  </w:r>
                </w:p>
              </w:tc>
              <w:tc>
                <w:tcPr>
                  <w:tcW w:w="1134" w:type="dxa"/>
                  <w:gridSpan w:val="2"/>
                  <w:noWrap/>
                  <w:vAlign w:val="bottom"/>
                  <w:hideMark/>
                </w:tcPr>
                <w:p w14:paraId="243C3321" w14:textId="77777777" w:rsidR="00366C16" w:rsidRPr="00366C16" w:rsidRDefault="00366C16" w:rsidP="00366C16">
                  <w:pPr>
                    <w:spacing w:after="0" w:line="259" w:lineRule="auto"/>
                    <w:rPr>
                      <w:rFonts w:ascii="Times New Roman" w:hAnsi="Times New Roman"/>
                      <w:color w:val="000000"/>
                      <w:sz w:val="20"/>
                      <w:lang w:eastAsia="lt-LT"/>
                    </w:rPr>
                  </w:pPr>
                </w:p>
              </w:tc>
              <w:tc>
                <w:tcPr>
                  <w:tcW w:w="992" w:type="dxa"/>
                  <w:gridSpan w:val="2"/>
                  <w:noWrap/>
                  <w:vAlign w:val="bottom"/>
                  <w:hideMark/>
                </w:tcPr>
                <w:p w14:paraId="34823754" w14:textId="77777777" w:rsidR="00366C16" w:rsidRPr="00366C16" w:rsidRDefault="00366C16" w:rsidP="00366C16">
                  <w:pPr>
                    <w:spacing w:after="0" w:line="259" w:lineRule="auto"/>
                    <w:rPr>
                      <w:rFonts w:ascii="Times New Roman" w:hAnsi="Times New Roman"/>
                      <w:sz w:val="20"/>
                      <w:lang w:eastAsia="lt-LT"/>
                    </w:rPr>
                  </w:pPr>
                </w:p>
              </w:tc>
              <w:tc>
                <w:tcPr>
                  <w:tcW w:w="1134" w:type="dxa"/>
                  <w:gridSpan w:val="2"/>
                  <w:noWrap/>
                  <w:vAlign w:val="bottom"/>
                  <w:hideMark/>
                </w:tcPr>
                <w:p w14:paraId="02917027" w14:textId="77777777" w:rsidR="00366C16" w:rsidRPr="00366C16" w:rsidRDefault="00366C16" w:rsidP="00366C16">
                  <w:pPr>
                    <w:spacing w:after="0" w:line="259" w:lineRule="auto"/>
                    <w:rPr>
                      <w:rFonts w:ascii="Times New Roman" w:hAnsi="Times New Roman"/>
                      <w:sz w:val="20"/>
                      <w:lang w:eastAsia="lt-LT"/>
                    </w:rPr>
                  </w:pPr>
                </w:p>
              </w:tc>
              <w:tc>
                <w:tcPr>
                  <w:tcW w:w="992" w:type="dxa"/>
                  <w:gridSpan w:val="2"/>
                  <w:noWrap/>
                  <w:vAlign w:val="bottom"/>
                  <w:hideMark/>
                </w:tcPr>
                <w:p w14:paraId="20884B75" w14:textId="77777777" w:rsidR="00366C16" w:rsidRPr="00366C16" w:rsidRDefault="00366C16" w:rsidP="00366C16">
                  <w:pPr>
                    <w:spacing w:after="0" w:line="259" w:lineRule="auto"/>
                    <w:rPr>
                      <w:rFonts w:ascii="Times New Roman" w:hAnsi="Times New Roman"/>
                      <w:sz w:val="20"/>
                      <w:lang w:eastAsia="lt-LT"/>
                    </w:rPr>
                  </w:pPr>
                </w:p>
              </w:tc>
              <w:tc>
                <w:tcPr>
                  <w:tcW w:w="992" w:type="dxa"/>
                  <w:gridSpan w:val="2"/>
                  <w:noWrap/>
                  <w:vAlign w:val="bottom"/>
                  <w:hideMark/>
                </w:tcPr>
                <w:p w14:paraId="27C37F54" w14:textId="77777777" w:rsidR="00366C16" w:rsidRPr="00366C16" w:rsidRDefault="00366C16" w:rsidP="00366C16">
                  <w:pPr>
                    <w:spacing w:after="0" w:line="259" w:lineRule="auto"/>
                    <w:rPr>
                      <w:rFonts w:ascii="Times New Roman" w:hAnsi="Times New Roman"/>
                      <w:sz w:val="20"/>
                      <w:lang w:eastAsia="lt-LT"/>
                    </w:rPr>
                  </w:pPr>
                </w:p>
              </w:tc>
            </w:tr>
            <w:tr w:rsidR="00366C16" w:rsidRPr="00366C16" w14:paraId="7C13C6FB" w14:textId="77777777" w:rsidTr="008768A3">
              <w:trPr>
                <w:trHeight w:val="300"/>
              </w:trPr>
              <w:tc>
                <w:tcPr>
                  <w:tcW w:w="2327" w:type="dxa"/>
                  <w:gridSpan w:val="4"/>
                  <w:tcBorders>
                    <w:top w:val="nil"/>
                    <w:left w:val="single" w:sz="4" w:space="0" w:color="auto"/>
                    <w:bottom w:val="single" w:sz="4" w:space="0" w:color="auto"/>
                    <w:right w:val="nil"/>
                  </w:tcBorders>
                  <w:noWrap/>
                  <w:vAlign w:val="bottom"/>
                  <w:hideMark/>
                </w:tcPr>
                <w:p w14:paraId="07C6E0E8" w14:textId="77777777" w:rsidR="00366C16" w:rsidRPr="00366C16" w:rsidRDefault="00366C16" w:rsidP="00366C16">
                  <w:pPr>
                    <w:spacing w:after="0" w:line="259" w:lineRule="auto"/>
                    <w:rPr>
                      <w:rFonts w:ascii="Times New Roman" w:hAnsi="Times New Roman"/>
                      <w:color w:val="000000"/>
                      <w:sz w:val="20"/>
                      <w:lang w:eastAsia="lt-LT"/>
                    </w:rPr>
                  </w:pPr>
                  <w:r w:rsidRPr="00366C16">
                    <w:rPr>
                      <w:rFonts w:ascii="Times New Roman" w:hAnsi="Times New Roman"/>
                      <w:color w:val="000000"/>
                      <w:sz w:val="20"/>
                      <w:lang w:eastAsia="lt-LT"/>
                    </w:rPr>
                    <w:t>Atsargos</w:t>
                  </w:r>
                </w:p>
              </w:tc>
              <w:tc>
                <w:tcPr>
                  <w:tcW w:w="1276" w:type="dxa"/>
                  <w:tcBorders>
                    <w:top w:val="nil"/>
                    <w:left w:val="single" w:sz="4" w:space="0" w:color="auto"/>
                    <w:bottom w:val="single" w:sz="4" w:space="0" w:color="auto"/>
                    <w:right w:val="single" w:sz="4" w:space="0" w:color="auto"/>
                  </w:tcBorders>
                  <w:noWrap/>
                  <w:vAlign w:val="bottom"/>
                  <w:hideMark/>
                </w:tcPr>
                <w:p w14:paraId="73AEE2B2" w14:textId="77777777" w:rsidR="00366C16" w:rsidRPr="00366C16" w:rsidRDefault="00366C16" w:rsidP="00366C16">
                  <w:pPr>
                    <w:spacing w:after="0" w:line="259" w:lineRule="auto"/>
                    <w:jc w:val="right"/>
                    <w:rPr>
                      <w:rFonts w:ascii="Times New Roman" w:hAnsi="Times New Roman"/>
                      <w:color w:val="000000"/>
                      <w:sz w:val="20"/>
                      <w:lang w:eastAsia="lt-LT"/>
                    </w:rPr>
                  </w:pPr>
                  <w:r w:rsidRPr="00366C16">
                    <w:rPr>
                      <w:rFonts w:ascii="Times New Roman" w:hAnsi="Times New Roman"/>
                      <w:color w:val="000000"/>
                      <w:sz w:val="20"/>
                      <w:lang w:eastAsia="lt-LT"/>
                    </w:rPr>
                    <w:t>0</w:t>
                  </w:r>
                </w:p>
              </w:tc>
              <w:tc>
                <w:tcPr>
                  <w:tcW w:w="1134" w:type="dxa"/>
                  <w:tcBorders>
                    <w:top w:val="nil"/>
                    <w:left w:val="nil"/>
                    <w:bottom w:val="single" w:sz="4" w:space="0" w:color="auto"/>
                    <w:right w:val="single" w:sz="4" w:space="0" w:color="auto"/>
                  </w:tcBorders>
                  <w:noWrap/>
                  <w:vAlign w:val="bottom"/>
                  <w:hideMark/>
                </w:tcPr>
                <w:p w14:paraId="173BAC45" w14:textId="77777777" w:rsidR="00366C16" w:rsidRPr="00366C16" w:rsidRDefault="00366C16" w:rsidP="00366C16">
                  <w:pPr>
                    <w:spacing w:after="0" w:line="259" w:lineRule="auto"/>
                    <w:jc w:val="right"/>
                    <w:rPr>
                      <w:rFonts w:ascii="Times New Roman" w:hAnsi="Times New Roman"/>
                      <w:color w:val="000000"/>
                      <w:sz w:val="20"/>
                      <w:lang w:eastAsia="lt-LT"/>
                    </w:rPr>
                  </w:pPr>
                  <w:r w:rsidRPr="00366C16">
                    <w:rPr>
                      <w:rFonts w:ascii="Times New Roman" w:hAnsi="Times New Roman"/>
                      <w:color w:val="000000"/>
                      <w:sz w:val="20"/>
                      <w:lang w:eastAsia="lt-LT"/>
                    </w:rPr>
                    <w:t>185 000</w:t>
                  </w:r>
                </w:p>
              </w:tc>
              <w:tc>
                <w:tcPr>
                  <w:tcW w:w="1134" w:type="dxa"/>
                  <w:gridSpan w:val="2"/>
                  <w:noWrap/>
                  <w:vAlign w:val="bottom"/>
                  <w:hideMark/>
                </w:tcPr>
                <w:p w14:paraId="674C923B" w14:textId="77777777" w:rsidR="00366C16" w:rsidRPr="00366C16" w:rsidRDefault="00366C16" w:rsidP="00366C16">
                  <w:pPr>
                    <w:spacing w:after="0" w:line="259" w:lineRule="auto"/>
                    <w:rPr>
                      <w:rFonts w:ascii="Times New Roman" w:hAnsi="Times New Roman"/>
                      <w:color w:val="000000"/>
                      <w:sz w:val="20"/>
                      <w:lang w:eastAsia="lt-LT"/>
                    </w:rPr>
                  </w:pPr>
                </w:p>
              </w:tc>
              <w:tc>
                <w:tcPr>
                  <w:tcW w:w="992" w:type="dxa"/>
                  <w:gridSpan w:val="2"/>
                  <w:noWrap/>
                  <w:vAlign w:val="bottom"/>
                  <w:hideMark/>
                </w:tcPr>
                <w:p w14:paraId="7F92BFFD" w14:textId="77777777" w:rsidR="00366C16" w:rsidRPr="00366C16" w:rsidRDefault="00366C16" w:rsidP="00366C16">
                  <w:pPr>
                    <w:spacing w:after="0" w:line="259" w:lineRule="auto"/>
                    <w:rPr>
                      <w:rFonts w:ascii="Times New Roman" w:hAnsi="Times New Roman"/>
                      <w:sz w:val="20"/>
                      <w:lang w:eastAsia="lt-LT"/>
                    </w:rPr>
                  </w:pPr>
                </w:p>
              </w:tc>
              <w:tc>
                <w:tcPr>
                  <w:tcW w:w="1134" w:type="dxa"/>
                  <w:gridSpan w:val="2"/>
                  <w:noWrap/>
                  <w:vAlign w:val="bottom"/>
                  <w:hideMark/>
                </w:tcPr>
                <w:p w14:paraId="3BDC55F4" w14:textId="77777777" w:rsidR="00366C16" w:rsidRPr="00366C16" w:rsidRDefault="00366C16" w:rsidP="00366C16">
                  <w:pPr>
                    <w:spacing w:after="0" w:line="259" w:lineRule="auto"/>
                    <w:rPr>
                      <w:rFonts w:ascii="Times New Roman" w:hAnsi="Times New Roman"/>
                      <w:sz w:val="20"/>
                      <w:lang w:eastAsia="lt-LT"/>
                    </w:rPr>
                  </w:pPr>
                </w:p>
              </w:tc>
              <w:tc>
                <w:tcPr>
                  <w:tcW w:w="992" w:type="dxa"/>
                  <w:gridSpan w:val="2"/>
                  <w:noWrap/>
                  <w:vAlign w:val="bottom"/>
                  <w:hideMark/>
                </w:tcPr>
                <w:p w14:paraId="0EDA5406" w14:textId="77777777" w:rsidR="00366C16" w:rsidRPr="00366C16" w:rsidRDefault="00366C16" w:rsidP="00366C16">
                  <w:pPr>
                    <w:spacing w:after="0" w:line="259" w:lineRule="auto"/>
                    <w:rPr>
                      <w:rFonts w:ascii="Times New Roman" w:hAnsi="Times New Roman"/>
                      <w:sz w:val="20"/>
                      <w:lang w:eastAsia="lt-LT"/>
                    </w:rPr>
                  </w:pPr>
                </w:p>
              </w:tc>
              <w:tc>
                <w:tcPr>
                  <w:tcW w:w="992" w:type="dxa"/>
                  <w:gridSpan w:val="2"/>
                  <w:noWrap/>
                  <w:vAlign w:val="bottom"/>
                  <w:hideMark/>
                </w:tcPr>
                <w:p w14:paraId="68D6309C" w14:textId="77777777" w:rsidR="00366C16" w:rsidRPr="00366C16" w:rsidRDefault="00366C16" w:rsidP="00366C16">
                  <w:pPr>
                    <w:spacing w:after="0" w:line="259" w:lineRule="auto"/>
                    <w:rPr>
                      <w:rFonts w:ascii="Times New Roman" w:hAnsi="Times New Roman"/>
                      <w:sz w:val="20"/>
                      <w:lang w:eastAsia="lt-LT"/>
                    </w:rPr>
                  </w:pPr>
                </w:p>
              </w:tc>
            </w:tr>
            <w:tr w:rsidR="00366C16" w:rsidRPr="00366C16" w14:paraId="223FFCE3" w14:textId="77777777" w:rsidTr="008768A3">
              <w:trPr>
                <w:trHeight w:val="300"/>
              </w:trPr>
              <w:tc>
                <w:tcPr>
                  <w:tcW w:w="2327" w:type="dxa"/>
                  <w:gridSpan w:val="4"/>
                  <w:tcBorders>
                    <w:top w:val="nil"/>
                    <w:left w:val="single" w:sz="4" w:space="0" w:color="auto"/>
                    <w:bottom w:val="single" w:sz="4" w:space="0" w:color="auto"/>
                    <w:right w:val="nil"/>
                  </w:tcBorders>
                  <w:noWrap/>
                  <w:vAlign w:val="bottom"/>
                  <w:hideMark/>
                </w:tcPr>
                <w:p w14:paraId="1DC5841F" w14:textId="77777777" w:rsidR="00366C16" w:rsidRPr="00366C16" w:rsidRDefault="00366C16" w:rsidP="00366C16">
                  <w:pPr>
                    <w:spacing w:after="0" w:line="259" w:lineRule="auto"/>
                    <w:rPr>
                      <w:rFonts w:ascii="Times New Roman" w:hAnsi="Times New Roman"/>
                      <w:color w:val="000000"/>
                      <w:sz w:val="20"/>
                      <w:lang w:eastAsia="lt-LT"/>
                    </w:rPr>
                  </w:pPr>
                  <w:r w:rsidRPr="00366C16">
                    <w:rPr>
                      <w:rFonts w:ascii="Times New Roman" w:hAnsi="Times New Roman"/>
                      <w:color w:val="000000"/>
                      <w:sz w:val="20"/>
                      <w:lang w:eastAsia="lt-LT"/>
                    </w:rPr>
                    <w:t>Biologinis turtas</w:t>
                  </w:r>
                </w:p>
              </w:tc>
              <w:tc>
                <w:tcPr>
                  <w:tcW w:w="1276" w:type="dxa"/>
                  <w:tcBorders>
                    <w:top w:val="nil"/>
                    <w:left w:val="single" w:sz="4" w:space="0" w:color="auto"/>
                    <w:bottom w:val="single" w:sz="4" w:space="0" w:color="auto"/>
                    <w:right w:val="single" w:sz="4" w:space="0" w:color="auto"/>
                  </w:tcBorders>
                  <w:noWrap/>
                  <w:vAlign w:val="bottom"/>
                  <w:hideMark/>
                </w:tcPr>
                <w:p w14:paraId="3D6A5355" w14:textId="77777777" w:rsidR="00366C16" w:rsidRPr="00366C16" w:rsidRDefault="00366C16" w:rsidP="00366C16">
                  <w:pPr>
                    <w:spacing w:after="0" w:line="259" w:lineRule="auto"/>
                    <w:jc w:val="right"/>
                    <w:rPr>
                      <w:rFonts w:ascii="Times New Roman" w:hAnsi="Times New Roman"/>
                      <w:color w:val="000000"/>
                      <w:sz w:val="20"/>
                      <w:lang w:eastAsia="lt-LT"/>
                    </w:rPr>
                  </w:pPr>
                  <w:r w:rsidRPr="00366C16">
                    <w:rPr>
                      <w:rFonts w:ascii="Times New Roman" w:hAnsi="Times New Roman"/>
                      <w:color w:val="000000"/>
                      <w:sz w:val="20"/>
                      <w:lang w:eastAsia="lt-LT"/>
                    </w:rPr>
                    <w:t>0</w:t>
                  </w:r>
                </w:p>
              </w:tc>
              <w:tc>
                <w:tcPr>
                  <w:tcW w:w="1134" w:type="dxa"/>
                  <w:tcBorders>
                    <w:top w:val="nil"/>
                    <w:left w:val="nil"/>
                    <w:bottom w:val="single" w:sz="4" w:space="0" w:color="auto"/>
                    <w:right w:val="single" w:sz="4" w:space="0" w:color="auto"/>
                  </w:tcBorders>
                  <w:noWrap/>
                  <w:vAlign w:val="bottom"/>
                  <w:hideMark/>
                </w:tcPr>
                <w:p w14:paraId="330BB4F4" w14:textId="77777777" w:rsidR="00366C16" w:rsidRPr="00366C16" w:rsidRDefault="00366C16" w:rsidP="00366C16">
                  <w:pPr>
                    <w:spacing w:after="0" w:line="259" w:lineRule="auto"/>
                    <w:jc w:val="right"/>
                    <w:rPr>
                      <w:rFonts w:ascii="Times New Roman" w:hAnsi="Times New Roman"/>
                      <w:color w:val="000000"/>
                      <w:sz w:val="20"/>
                      <w:lang w:eastAsia="lt-LT"/>
                    </w:rPr>
                  </w:pPr>
                  <w:r w:rsidRPr="00366C16">
                    <w:rPr>
                      <w:rFonts w:ascii="Times New Roman" w:hAnsi="Times New Roman"/>
                      <w:color w:val="000000"/>
                      <w:sz w:val="20"/>
                      <w:lang w:eastAsia="lt-LT"/>
                    </w:rPr>
                    <w:t>0</w:t>
                  </w:r>
                </w:p>
              </w:tc>
              <w:tc>
                <w:tcPr>
                  <w:tcW w:w="1134" w:type="dxa"/>
                  <w:gridSpan w:val="2"/>
                  <w:noWrap/>
                  <w:vAlign w:val="bottom"/>
                  <w:hideMark/>
                </w:tcPr>
                <w:p w14:paraId="6329BCA5" w14:textId="77777777" w:rsidR="00366C16" w:rsidRPr="00366C16" w:rsidRDefault="00366C16" w:rsidP="00366C16">
                  <w:pPr>
                    <w:spacing w:after="0" w:line="259" w:lineRule="auto"/>
                    <w:rPr>
                      <w:rFonts w:ascii="Times New Roman" w:hAnsi="Times New Roman"/>
                      <w:color w:val="000000"/>
                      <w:sz w:val="20"/>
                      <w:lang w:eastAsia="lt-LT"/>
                    </w:rPr>
                  </w:pPr>
                </w:p>
              </w:tc>
              <w:tc>
                <w:tcPr>
                  <w:tcW w:w="992" w:type="dxa"/>
                  <w:gridSpan w:val="2"/>
                  <w:noWrap/>
                  <w:vAlign w:val="bottom"/>
                  <w:hideMark/>
                </w:tcPr>
                <w:p w14:paraId="5336F522" w14:textId="77777777" w:rsidR="00366C16" w:rsidRPr="00366C16" w:rsidRDefault="00366C16" w:rsidP="00366C16">
                  <w:pPr>
                    <w:spacing w:after="0" w:line="259" w:lineRule="auto"/>
                    <w:rPr>
                      <w:rFonts w:ascii="Times New Roman" w:hAnsi="Times New Roman"/>
                      <w:sz w:val="20"/>
                      <w:lang w:eastAsia="lt-LT"/>
                    </w:rPr>
                  </w:pPr>
                </w:p>
              </w:tc>
              <w:tc>
                <w:tcPr>
                  <w:tcW w:w="1134" w:type="dxa"/>
                  <w:gridSpan w:val="2"/>
                  <w:noWrap/>
                  <w:vAlign w:val="bottom"/>
                  <w:hideMark/>
                </w:tcPr>
                <w:p w14:paraId="7E670877" w14:textId="77777777" w:rsidR="00366C16" w:rsidRPr="00366C16" w:rsidRDefault="00366C16" w:rsidP="00366C16">
                  <w:pPr>
                    <w:spacing w:after="0" w:line="259" w:lineRule="auto"/>
                    <w:rPr>
                      <w:rFonts w:ascii="Times New Roman" w:hAnsi="Times New Roman"/>
                      <w:sz w:val="20"/>
                      <w:lang w:eastAsia="lt-LT"/>
                    </w:rPr>
                  </w:pPr>
                </w:p>
              </w:tc>
              <w:tc>
                <w:tcPr>
                  <w:tcW w:w="992" w:type="dxa"/>
                  <w:gridSpan w:val="2"/>
                  <w:noWrap/>
                  <w:vAlign w:val="bottom"/>
                  <w:hideMark/>
                </w:tcPr>
                <w:p w14:paraId="51BCCBBE" w14:textId="77777777" w:rsidR="00366C16" w:rsidRPr="00366C16" w:rsidRDefault="00366C16" w:rsidP="00366C16">
                  <w:pPr>
                    <w:spacing w:after="0" w:line="259" w:lineRule="auto"/>
                    <w:rPr>
                      <w:rFonts w:ascii="Times New Roman" w:hAnsi="Times New Roman"/>
                      <w:sz w:val="20"/>
                      <w:lang w:eastAsia="lt-LT"/>
                    </w:rPr>
                  </w:pPr>
                </w:p>
              </w:tc>
              <w:tc>
                <w:tcPr>
                  <w:tcW w:w="992" w:type="dxa"/>
                  <w:gridSpan w:val="2"/>
                  <w:noWrap/>
                  <w:vAlign w:val="bottom"/>
                  <w:hideMark/>
                </w:tcPr>
                <w:p w14:paraId="52E12472" w14:textId="77777777" w:rsidR="00366C16" w:rsidRPr="00366C16" w:rsidRDefault="00366C16" w:rsidP="00366C16">
                  <w:pPr>
                    <w:spacing w:after="0" w:line="259" w:lineRule="auto"/>
                    <w:rPr>
                      <w:rFonts w:ascii="Times New Roman" w:hAnsi="Times New Roman"/>
                      <w:sz w:val="20"/>
                      <w:lang w:eastAsia="lt-LT"/>
                    </w:rPr>
                  </w:pPr>
                </w:p>
              </w:tc>
            </w:tr>
            <w:tr w:rsidR="00366C16" w:rsidRPr="00366C16" w14:paraId="0EDE9F02" w14:textId="77777777" w:rsidTr="008768A3">
              <w:trPr>
                <w:trHeight w:val="300"/>
              </w:trPr>
              <w:tc>
                <w:tcPr>
                  <w:tcW w:w="2327" w:type="dxa"/>
                  <w:gridSpan w:val="4"/>
                  <w:tcBorders>
                    <w:top w:val="nil"/>
                    <w:left w:val="single" w:sz="4" w:space="0" w:color="auto"/>
                    <w:bottom w:val="single" w:sz="4" w:space="0" w:color="auto"/>
                    <w:right w:val="nil"/>
                  </w:tcBorders>
                  <w:noWrap/>
                  <w:vAlign w:val="bottom"/>
                  <w:hideMark/>
                </w:tcPr>
                <w:p w14:paraId="0BD55148" w14:textId="77777777" w:rsidR="00366C16" w:rsidRPr="00366C16" w:rsidRDefault="00366C16" w:rsidP="00366C16">
                  <w:pPr>
                    <w:spacing w:after="0" w:line="259" w:lineRule="auto"/>
                    <w:rPr>
                      <w:rFonts w:ascii="Times New Roman" w:hAnsi="Times New Roman"/>
                      <w:color w:val="000000"/>
                      <w:sz w:val="20"/>
                      <w:lang w:eastAsia="lt-LT"/>
                    </w:rPr>
                  </w:pPr>
                  <w:r w:rsidRPr="00366C16">
                    <w:rPr>
                      <w:rFonts w:ascii="Times New Roman" w:hAnsi="Times New Roman"/>
                      <w:color w:val="000000"/>
                      <w:sz w:val="20"/>
                      <w:lang w:eastAsia="lt-LT"/>
                    </w:rPr>
                    <w:t>Gautinos prekybos skolos</w:t>
                  </w:r>
                </w:p>
              </w:tc>
              <w:tc>
                <w:tcPr>
                  <w:tcW w:w="1276" w:type="dxa"/>
                  <w:tcBorders>
                    <w:top w:val="nil"/>
                    <w:left w:val="single" w:sz="4" w:space="0" w:color="auto"/>
                    <w:bottom w:val="single" w:sz="4" w:space="0" w:color="auto"/>
                    <w:right w:val="single" w:sz="4" w:space="0" w:color="auto"/>
                  </w:tcBorders>
                  <w:noWrap/>
                  <w:vAlign w:val="bottom"/>
                  <w:hideMark/>
                </w:tcPr>
                <w:p w14:paraId="119BEF35" w14:textId="77777777" w:rsidR="00366C16" w:rsidRPr="00366C16" w:rsidRDefault="00366C16" w:rsidP="00366C16">
                  <w:pPr>
                    <w:spacing w:after="0" w:line="259" w:lineRule="auto"/>
                    <w:jc w:val="right"/>
                    <w:rPr>
                      <w:rFonts w:ascii="Times New Roman" w:hAnsi="Times New Roman"/>
                      <w:color w:val="000000"/>
                      <w:sz w:val="20"/>
                      <w:lang w:eastAsia="lt-LT"/>
                    </w:rPr>
                  </w:pPr>
                  <w:r w:rsidRPr="00366C16">
                    <w:rPr>
                      <w:rFonts w:ascii="Times New Roman" w:hAnsi="Times New Roman"/>
                      <w:color w:val="000000"/>
                      <w:sz w:val="20"/>
                      <w:lang w:eastAsia="lt-LT"/>
                    </w:rPr>
                    <w:t>0</w:t>
                  </w:r>
                </w:p>
              </w:tc>
              <w:tc>
                <w:tcPr>
                  <w:tcW w:w="1134" w:type="dxa"/>
                  <w:tcBorders>
                    <w:top w:val="nil"/>
                    <w:left w:val="nil"/>
                    <w:bottom w:val="single" w:sz="4" w:space="0" w:color="auto"/>
                    <w:right w:val="single" w:sz="4" w:space="0" w:color="auto"/>
                  </w:tcBorders>
                  <w:noWrap/>
                  <w:vAlign w:val="bottom"/>
                  <w:hideMark/>
                </w:tcPr>
                <w:p w14:paraId="263472A3" w14:textId="77777777" w:rsidR="00366C16" w:rsidRPr="00366C16" w:rsidRDefault="00366C16" w:rsidP="00366C16">
                  <w:pPr>
                    <w:spacing w:after="0" w:line="259" w:lineRule="auto"/>
                    <w:jc w:val="right"/>
                    <w:rPr>
                      <w:rFonts w:ascii="Times New Roman" w:hAnsi="Times New Roman"/>
                      <w:color w:val="000000"/>
                      <w:sz w:val="20"/>
                      <w:lang w:eastAsia="lt-LT"/>
                    </w:rPr>
                  </w:pPr>
                  <w:r w:rsidRPr="00366C16">
                    <w:rPr>
                      <w:rFonts w:ascii="Times New Roman" w:hAnsi="Times New Roman"/>
                      <w:color w:val="000000"/>
                      <w:sz w:val="20"/>
                      <w:lang w:eastAsia="lt-LT"/>
                    </w:rPr>
                    <w:t>0</w:t>
                  </w:r>
                </w:p>
              </w:tc>
              <w:tc>
                <w:tcPr>
                  <w:tcW w:w="1134" w:type="dxa"/>
                  <w:gridSpan w:val="2"/>
                  <w:noWrap/>
                  <w:vAlign w:val="bottom"/>
                  <w:hideMark/>
                </w:tcPr>
                <w:p w14:paraId="451E9B66" w14:textId="77777777" w:rsidR="00366C16" w:rsidRPr="00366C16" w:rsidRDefault="00366C16" w:rsidP="00366C16">
                  <w:pPr>
                    <w:spacing w:after="0" w:line="259" w:lineRule="auto"/>
                    <w:rPr>
                      <w:rFonts w:ascii="Times New Roman" w:hAnsi="Times New Roman"/>
                      <w:color w:val="000000"/>
                      <w:sz w:val="20"/>
                      <w:lang w:eastAsia="lt-LT"/>
                    </w:rPr>
                  </w:pPr>
                </w:p>
              </w:tc>
              <w:tc>
                <w:tcPr>
                  <w:tcW w:w="992" w:type="dxa"/>
                  <w:gridSpan w:val="2"/>
                  <w:noWrap/>
                  <w:vAlign w:val="bottom"/>
                  <w:hideMark/>
                </w:tcPr>
                <w:p w14:paraId="423C7D22" w14:textId="77777777" w:rsidR="00366C16" w:rsidRPr="00366C16" w:rsidRDefault="00366C16" w:rsidP="00366C16">
                  <w:pPr>
                    <w:spacing w:after="0" w:line="259" w:lineRule="auto"/>
                    <w:rPr>
                      <w:rFonts w:ascii="Times New Roman" w:hAnsi="Times New Roman"/>
                      <w:sz w:val="20"/>
                      <w:lang w:eastAsia="lt-LT"/>
                    </w:rPr>
                  </w:pPr>
                </w:p>
              </w:tc>
              <w:tc>
                <w:tcPr>
                  <w:tcW w:w="1134" w:type="dxa"/>
                  <w:gridSpan w:val="2"/>
                  <w:noWrap/>
                  <w:vAlign w:val="bottom"/>
                  <w:hideMark/>
                </w:tcPr>
                <w:p w14:paraId="25995C77" w14:textId="77777777" w:rsidR="00366C16" w:rsidRPr="00366C16" w:rsidRDefault="00366C16" w:rsidP="00366C16">
                  <w:pPr>
                    <w:spacing w:after="0" w:line="259" w:lineRule="auto"/>
                    <w:rPr>
                      <w:rFonts w:ascii="Times New Roman" w:hAnsi="Times New Roman"/>
                      <w:sz w:val="20"/>
                      <w:lang w:eastAsia="lt-LT"/>
                    </w:rPr>
                  </w:pPr>
                </w:p>
              </w:tc>
              <w:tc>
                <w:tcPr>
                  <w:tcW w:w="992" w:type="dxa"/>
                  <w:gridSpan w:val="2"/>
                  <w:noWrap/>
                  <w:vAlign w:val="bottom"/>
                  <w:hideMark/>
                </w:tcPr>
                <w:p w14:paraId="077D1647" w14:textId="77777777" w:rsidR="00366C16" w:rsidRPr="00366C16" w:rsidRDefault="00366C16" w:rsidP="00366C16">
                  <w:pPr>
                    <w:spacing w:after="0" w:line="259" w:lineRule="auto"/>
                    <w:rPr>
                      <w:rFonts w:ascii="Times New Roman" w:hAnsi="Times New Roman"/>
                      <w:sz w:val="20"/>
                      <w:lang w:eastAsia="lt-LT"/>
                    </w:rPr>
                  </w:pPr>
                </w:p>
              </w:tc>
              <w:tc>
                <w:tcPr>
                  <w:tcW w:w="992" w:type="dxa"/>
                  <w:gridSpan w:val="2"/>
                  <w:noWrap/>
                  <w:vAlign w:val="bottom"/>
                  <w:hideMark/>
                </w:tcPr>
                <w:p w14:paraId="64CC5B7C" w14:textId="77777777" w:rsidR="00366C16" w:rsidRPr="00366C16" w:rsidRDefault="00366C16" w:rsidP="00366C16">
                  <w:pPr>
                    <w:spacing w:after="0" w:line="259" w:lineRule="auto"/>
                    <w:rPr>
                      <w:rFonts w:ascii="Times New Roman" w:hAnsi="Times New Roman"/>
                      <w:sz w:val="20"/>
                      <w:lang w:eastAsia="lt-LT"/>
                    </w:rPr>
                  </w:pPr>
                </w:p>
              </w:tc>
            </w:tr>
            <w:tr w:rsidR="00366C16" w:rsidRPr="00366C16" w14:paraId="53009EA5" w14:textId="77777777" w:rsidTr="008768A3">
              <w:trPr>
                <w:trHeight w:val="300"/>
              </w:trPr>
              <w:tc>
                <w:tcPr>
                  <w:tcW w:w="2327" w:type="dxa"/>
                  <w:gridSpan w:val="4"/>
                  <w:tcBorders>
                    <w:top w:val="nil"/>
                    <w:left w:val="single" w:sz="4" w:space="0" w:color="auto"/>
                    <w:bottom w:val="single" w:sz="4" w:space="0" w:color="auto"/>
                    <w:right w:val="nil"/>
                  </w:tcBorders>
                  <w:noWrap/>
                  <w:vAlign w:val="bottom"/>
                  <w:hideMark/>
                </w:tcPr>
                <w:p w14:paraId="0D86C5FA" w14:textId="77777777" w:rsidR="00366C16" w:rsidRPr="00366C16" w:rsidRDefault="00366C16" w:rsidP="00366C16">
                  <w:pPr>
                    <w:spacing w:after="0" w:line="259" w:lineRule="auto"/>
                    <w:rPr>
                      <w:rFonts w:ascii="Times New Roman" w:hAnsi="Times New Roman"/>
                      <w:color w:val="000000"/>
                      <w:sz w:val="20"/>
                      <w:lang w:eastAsia="lt-LT"/>
                    </w:rPr>
                  </w:pPr>
                  <w:r w:rsidRPr="00366C16">
                    <w:rPr>
                      <w:rFonts w:ascii="Times New Roman" w:hAnsi="Times New Roman"/>
                      <w:color w:val="000000"/>
                      <w:sz w:val="20"/>
                      <w:lang w:eastAsia="lt-LT"/>
                    </w:rPr>
                    <w:t>Skolos tiekėjams</w:t>
                  </w:r>
                </w:p>
              </w:tc>
              <w:tc>
                <w:tcPr>
                  <w:tcW w:w="1276" w:type="dxa"/>
                  <w:tcBorders>
                    <w:top w:val="nil"/>
                    <w:left w:val="single" w:sz="4" w:space="0" w:color="auto"/>
                    <w:bottom w:val="single" w:sz="4" w:space="0" w:color="auto"/>
                    <w:right w:val="single" w:sz="4" w:space="0" w:color="auto"/>
                  </w:tcBorders>
                  <w:noWrap/>
                  <w:vAlign w:val="bottom"/>
                  <w:hideMark/>
                </w:tcPr>
                <w:p w14:paraId="0665CEC8" w14:textId="77777777" w:rsidR="00366C16" w:rsidRPr="00366C16" w:rsidRDefault="00366C16" w:rsidP="00366C16">
                  <w:pPr>
                    <w:spacing w:after="0" w:line="259" w:lineRule="auto"/>
                    <w:jc w:val="right"/>
                    <w:rPr>
                      <w:rFonts w:ascii="Times New Roman" w:hAnsi="Times New Roman"/>
                      <w:color w:val="000000"/>
                      <w:sz w:val="20"/>
                      <w:lang w:eastAsia="lt-LT"/>
                    </w:rPr>
                  </w:pPr>
                  <w:r w:rsidRPr="00366C16">
                    <w:rPr>
                      <w:rFonts w:ascii="Times New Roman" w:hAnsi="Times New Roman"/>
                      <w:color w:val="000000"/>
                      <w:sz w:val="20"/>
                      <w:lang w:eastAsia="lt-LT"/>
                    </w:rPr>
                    <w:t>0</w:t>
                  </w:r>
                </w:p>
              </w:tc>
              <w:tc>
                <w:tcPr>
                  <w:tcW w:w="1134" w:type="dxa"/>
                  <w:tcBorders>
                    <w:top w:val="nil"/>
                    <w:left w:val="nil"/>
                    <w:bottom w:val="single" w:sz="4" w:space="0" w:color="auto"/>
                    <w:right w:val="single" w:sz="4" w:space="0" w:color="auto"/>
                  </w:tcBorders>
                  <w:noWrap/>
                  <w:vAlign w:val="bottom"/>
                  <w:hideMark/>
                </w:tcPr>
                <w:p w14:paraId="0ABA82A9" w14:textId="77777777" w:rsidR="00366C16" w:rsidRPr="00366C16" w:rsidRDefault="00366C16" w:rsidP="00366C16">
                  <w:pPr>
                    <w:spacing w:after="0" w:line="259" w:lineRule="auto"/>
                    <w:jc w:val="right"/>
                    <w:rPr>
                      <w:rFonts w:ascii="Times New Roman" w:hAnsi="Times New Roman"/>
                      <w:color w:val="000000"/>
                      <w:sz w:val="20"/>
                      <w:lang w:eastAsia="lt-LT"/>
                    </w:rPr>
                  </w:pPr>
                  <w:r w:rsidRPr="00366C16">
                    <w:rPr>
                      <w:rFonts w:ascii="Times New Roman" w:hAnsi="Times New Roman"/>
                      <w:color w:val="000000"/>
                      <w:sz w:val="20"/>
                      <w:lang w:eastAsia="lt-LT"/>
                    </w:rPr>
                    <w:t>165 500</w:t>
                  </w:r>
                </w:p>
              </w:tc>
              <w:tc>
                <w:tcPr>
                  <w:tcW w:w="1134" w:type="dxa"/>
                  <w:gridSpan w:val="2"/>
                  <w:noWrap/>
                  <w:vAlign w:val="bottom"/>
                  <w:hideMark/>
                </w:tcPr>
                <w:p w14:paraId="3033431F" w14:textId="77777777" w:rsidR="00366C16" w:rsidRPr="00366C16" w:rsidRDefault="00366C16" w:rsidP="00366C16">
                  <w:pPr>
                    <w:spacing w:after="0" w:line="259" w:lineRule="auto"/>
                    <w:rPr>
                      <w:rFonts w:ascii="Times New Roman" w:hAnsi="Times New Roman"/>
                      <w:color w:val="000000"/>
                      <w:sz w:val="20"/>
                      <w:lang w:eastAsia="lt-LT"/>
                    </w:rPr>
                  </w:pPr>
                </w:p>
              </w:tc>
              <w:tc>
                <w:tcPr>
                  <w:tcW w:w="992" w:type="dxa"/>
                  <w:gridSpan w:val="2"/>
                  <w:noWrap/>
                  <w:vAlign w:val="bottom"/>
                  <w:hideMark/>
                </w:tcPr>
                <w:p w14:paraId="39A2B8CE" w14:textId="77777777" w:rsidR="00366C16" w:rsidRPr="00366C16" w:rsidRDefault="00366C16" w:rsidP="00366C16">
                  <w:pPr>
                    <w:spacing w:after="0" w:line="259" w:lineRule="auto"/>
                    <w:rPr>
                      <w:rFonts w:ascii="Times New Roman" w:hAnsi="Times New Roman"/>
                      <w:sz w:val="20"/>
                      <w:lang w:eastAsia="lt-LT"/>
                    </w:rPr>
                  </w:pPr>
                </w:p>
              </w:tc>
              <w:tc>
                <w:tcPr>
                  <w:tcW w:w="1134" w:type="dxa"/>
                  <w:gridSpan w:val="2"/>
                  <w:noWrap/>
                  <w:vAlign w:val="bottom"/>
                  <w:hideMark/>
                </w:tcPr>
                <w:p w14:paraId="329887AF" w14:textId="77777777" w:rsidR="00366C16" w:rsidRPr="00366C16" w:rsidRDefault="00366C16" w:rsidP="00366C16">
                  <w:pPr>
                    <w:spacing w:after="0" w:line="259" w:lineRule="auto"/>
                    <w:rPr>
                      <w:rFonts w:ascii="Times New Roman" w:hAnsi="Times New Roman"/>
                      <w:sz w:val="20"/>
                      <w:lang w:eastAsia="lt-LT"/>
                    </w:rPr>
                  </w:pPr>
                </w:p>
              </w:tc>
              <w:tc>
                <w:tcPr>
                  <w:tcW w:w="992" w:type="dxa"/>
                  <w:gridSpan w:val="2"/>
                  <w:noWrap/>
                  <w:vAlign w:val="bottom"/>
                  <w:hideMark/>
                </w:tcPr>
                <w:p w14:paraId="209A1E0A" w14:textId="77777777" w:rsidR="00366C16" w:rsidRPr="00366C16" w:rsidRDefault="00366C16" w:rsidP="00366C16">
                  <w:pPr>
                    <w:spacing w:after="0" w:line="259" w:lineRule="auto"/>
                    <w:rPr>
                      <w:rFonts w:ascii="Times New Roman" w:hAnsi="Times New Roman"/>
                      <w:sz w:val="20"/>
                      <w:lang w:eastAsia="lt-LT"/>
                    </w:rPr>
                  </w:pPr>
                </w:p>
              </w:tc>
              <w:tc>
                <w:tcPr>
                  <w:tcW w:w="992" w:type="dxa"/>
                  <w:gridSpan w:val="2"/>
                  <w:noWrap/>
                  <w:vAlign w:val="bottom"/>
                  <w:hideMark/>
                </w:tcPr>
                <w:p w14:paraId="537F3AD3" w14:textId="77777777" w:rsidR="00366C16" w:rsidRPr="00366C16" w:rsidRDefault="00366C16" w:rsidP="00366C16">
                  <w:pPr>
                    <w:spacing w:after="0" w:line="259" w:lineRule="auto"/>
                    <w:rPr>
                      <w:rFonts w:ascii="Times New Roman" w:hAnsi="Times New Roman"/>
                      <w:sz w:val="20"/>
                      <w:lang w:eastAsia="lt-LT"/>
                    </w:rPr>
                  </w:pPr>
                </w:p>
              </w:tc>
            </w:tr>
            <w:tr w:rsidR="00366C16" w:rsidRPr="00366C16" w14:paraId="18C8F04A" w14:textId="77777777" w:rsidTr="008768A3">
              <w:trPr>
                <w:trHeight w:val="300"/>
              </w:trPr>
              <w:tc>
                <w:tcPr>
                  <w:tcW w:w="2327" w:type="dxa"/>
                  <w:gridSpan w:val="4"/>
                  <w:tcBorders>
                    <w:top w:val="nil"/>
                    <w:left w:val="single" w:sz="4" w:space="0" w:color="auto"/>
                    <w:bottom w:val="single" w:sz="4" w:space="0" w:color="auto"/>
                    <w:right w:val="nil"/>
                  </w:tcBorders>
                  <w:noWrap/>
                  <w:vAlign w:val="bottom"/>
                  <w:hideMark/>
                </w:tcPr>
                <w:p w14:paraId="59D312A8" w14:textId="77777777" w:rsidR="00366C16" w:rsidRPr="00366C16" w:rsidRDefault="00366C16" w:rsidP="00366C16">
                  <w:pPr>
                    <w:spacing w:after="0" w:line="259" w:lineRule="auto"/>
                    <w:rPr>
                      <w:rFonts w:ascii="Times New Roman" w:hAnsi="Times New Roman"/>
                      <w:color w:val="000000"/>
                      <w:sz w:val="20"/>
                      <w:lang w:eastAsia="lt-LT"/>
                    </w:rPr>
                  </w:pPr>
                  <w:r w:rsidRPr="00366C16">
                    <w:rPr>
                      <w:rFonts w:ascii="Times New Roman" w:hAnsi="Times New Roman"/>
                      <w:color w:val="000000"/>
                      <w:sz w:val="20"/>
                      <w:lang w:eastAsia="lt-LT"/>
                    </w:rPr>
                    <w:t>Gauti išankstiniai apmokėjimai</w:t>
                  </w:r>
                </w:p>
              </w:tc>
              <w:tc>
                <w:tcPr>
                  <w:tcW w:w="1276" w:type="dxa"/>
                  <w:tcBorders>
                    <w:top w:val="nil"/>
                    <w:left w:val="single" w:sz="4" w:space="0" w:color="auto"/>
                    <w:bottom w:val="single" w:sz="4" w:space="0" w:color="auto"/>
                    <w:right w:val="single" w:sz="4" w:space="0" w:color="auto"/>
                  </w:tcBorders>
                  <w:noWrap/>
                  <w:vAlign w:val="bottom"/>
                  <w:hideMark/>
                </w:tcPr>
                <w:p w14:paraId="117F9465" w14:textId="77777777" w:rsidR="00366C16" w:rsidRPr="00366C16" w:rsidRDefault="00366C16" w:rsidP="00366C16">
                  <w:pPr>
                    <w:spacing w:after="0" w:line="259" w:lineRule="auto"/>
                    <w:jc w:val="right"/>
                    <w:rPr>
                      <w:rFonts w:ascii="Times New Roman" w:hAnsi="Times New Roman"/>
                      <w:color w:val="000000"/>
                      <w:sz w:val="20"/>
                      <w:lang w:eastAsia="lt-LT"/>
                    </w:rPr>
                  </w:pPr>
                  <w:r w:rsidRPr="00366C16">
                    <w:rPr>
                      <w:rFonts w:ascii="Times New Roman" w:hAnsi="Times New Roman"/>
                      <w:color w:val="000000"/>
                      <w:sz w:val="20"/>
                      <w:lang w:eastAsia="lt-LT"/>
                    </w:rPr>
                    <w:t>0</w:t>
                  </w:r>
                </w:p>
              </w:tc>
              <w:tc>
                <w:tcPr>
                  <w:tcW w:w="1134" w:type="dxa"/>
                  <w:tcBorders>
                    <w:top w:val="nil"/>
                    <w:left w:val="nil"/>
                    <w:bottom w:val="single" w:sz="4" w:space="0" w:color="auto"/>
                    <w:right w:val="single" w:sz="4" w:space="0" w:color="auto"/>
                  </w:tcBorders>
                  <w:noWrap/>
                  <w:vAlign w:val="bottom"/>
                  <w:hideMark/>
                </w:tcPr>
                <w:p w14:paraId="666CA69A" w14:textId="77777777" w:rsidR="00366C16" w:rsidRPr="00366C16" w:rsidRDefault="00366C16" w:rsidP="00366C16">
                  <w:pPr>
                    <w:spacing w:after="0" w:line="259" w:lineRule="auto"/>
                    <w:jc w:val="right"/>
                    <w:rPr>
                      <w:rFonts w:ascii="Times New Roman" w:hAnsi="Times New Roman"/>
                      <w:color w:val="000000"/>
                      <w:sz w:val="20"/>
                      <w:lang w:eastAsia="lt-LT"/>
                    </w:rPr>
                  </w:pPr>
                  <w:r w:rsidRPr="00366C16">
                    <w:rPr>
                      <w:rFonts w:ascii="Times New Roman" w:hAnsi="Times New Roman"/>
                      <w:color w:val="000000"/>
                      <w:sz w:val="20"/>
                      <w:lang w:eastAsia="lt-LT"/>
                    </w:rPr>
                    <w:t>777 664</w:t>
                  </w:r>
                </w:p>
              </w:tc>
              <w:tc>
                <w:tcPr>
                  <w:tcW w:w="1134" w:type="dxa"/>
                  <w:gridSpan w:val="2"/>
                  <w:noWrap/>
                  <w:vAlign w:val="bottom"/>
                  <w:hideMark/>
                </w:tcPr>
                <w:p w14:paraId="71405FD2" w14:textId="77777777" w:rsidR="00366C16" w:rsidRPr="00366C16" w:rsidRDefault="00366C16" w:rsidP="00366C16">
                  <w:pPr>
                    <w:spacing w:after="0" w:line="259" w:lineRule="auto"/>
                    <w:rPr>
                      <w:rFonts w:ascii="Times New Roman" w:hAnsi="Times New Roman"/>
                      <w:color w:val="000000"/>
                      <w:sz w:val="20"/>
                      <w:lang w:eastAsia="lt-LT"/>
                    </w:rPr>
                  </w:pPr>
                </w:p>
              </w:tc>
              <w:tc>
                <w:tcPr>
                  <w:tcW w:w="992" w:type="dxa"/>
                  <w:gridSpan w:val="2"/>
                  <w:noWrap/>
                  <w:vAlign w:val="bottom"/>
                  <w:hideMark/>
                </w:tcPr>
                <w:p w14:paraId="4DA9017C" w14:textId="77777777" w:rsidR="00366C16" w:rsidRPr="00366C16" w:rsidRDefault="00366C16" w:rsidP="00366C16">
                  <w:pPr>
                    <w:spacing w:after="0" w:line="259" w:lineRule="auto"/>
                    <w:rPr>
                      <w:rFonts w:ascii="Times New Roman" w:hAnsi="Times New Roman"/>
                      <w:sz w:val="20"/>
                      <w:lang w:eastAsia="lt-LT"/>
                    </w:rPr>
                  </w:pPr>
                </w:p>
              </w:tc>
              <w:tc>
                <w:tcPr>
                  <w:tcW w:w="1134" w:type="dxa"/>
                  <w:gridSpan w:val="2"/>
                  <w:noWrap/>
                  <w:vAlign w:val="bottom"/>
                  <w:hideMark/>
                </w:tcPr>
                <w:p w14:paraId="67AAD82C" w14:textId="77777777" w:rsidR="00366C16" w:rsidRPr="00366C16" w:rsidRDefault="00366C16" w:rsidP="00366C16">
                  <w:pPr>
                    <w:spacing w:after="0" w:line="259" w:lineRule="auto"/>
                    <w:rPr>
                      <w:rFonts w:ascii="Times New Roman" w:hAnsi="Times New Roman"/>
                      <w:sz w:val="20"/>
                      <w:lang w:eastAsia="lt-LT"/>
                    </w:rPr>
                  </w:pPr>
                </w:p>
              </w:tc>
              <w:tc>
                <w:tcPr>
                  <w:tcW w:w="992" w:type="dxa"/>
                  <w:gridSpan w:val="2"/>
                  <w:noWrap/>
                  <w:vAlign w:val="bottom"/>
                  <w:hideMark/>
                </w:tcPr>
                <w:p w14:paraId="2033FFEE" w14:textId="77777777" w:rsidR="00366C16" w:rsidRPr="00366C16" w:rsidRDefault="00366C16" w:rsidP="00366C16">
                  <w:pPr>
                    <w:spacing w:after="0" w:line="259" w:lineRule="auto"/>
                    <w:rPr>
                      <w:rFonts w:ascii="Times New Roman" w:hAnsi="Times New Roman"/>
                      <w:sz w:val="20"/>
                      <w:lang w:eastAsia="lt-LT"/>
                    </w:rPr>
                  </w:pPr>
                </w:p>
              </w:tc>
              <w:tc>
                <w:tcPr>
                  <w:tcW w:w="992" w:type="dxa"/>
                  <w:gridSpan w:val="2"/>
                  <w:noWrap/>
                  <w:vAlign w:val="bottom"/>
                  <w:hideMark/>
                </w:tcPr>
                <w:p w14:paraId="05EE0F2D" w14:textId="77777777" w:rsidR="00366C16" w:rsidRPr="00366C16" w:rsidRDefault="00366C16" w:rsidP="00366C16">
                  <w:pPr>
                    <w:spacing w:after="0" w:line="259" w:lineRule="auto"/>
                    <w:rPr>
                      <w:rFonts w:ascii="Times New Roman" w:hAnsi="Times New Roman"/>
                      <w:sz w:val="20"/>
                      <w:lang w:eastAsia="lt-LT"/>
                    </w:rPr>
                  </w:pPr>
                </w:p>
              </w:tc>
            </w:tr>
            <w:tr w:rsidR="00366C16" w:rsidRPr="00366C16" w14:paraId="66375D07" w14:textId="77777777" w:rsidTr="008768A3">
              <w:trPr>
                <w:trHeight w:val="300"/>
              </w:trPr>
              <w:tc>
                <w:tcPr>
                  <w:tcW w:w="2327" w:type="dxa"/>
                  <w:gridSpan w:val="4"/>
                  <w:noWrap/>
                  <w:vAlign w:val="bottom"/>
                  <w:hideMark/>
                </w:tcPr>
                <w:p w14:paraId="6FB71089" w14:textId="77777777" w:rsidR="00366C16" w:rsidRPr="00366C16" w:rsidRDefault="00366C16" w:rsidP="00366C16">
                  <w:pPr>
                    <w:spacing w:after="0" w:line="259" w:lineRule="auto"/>
                    <w:rPr>
                      <w:rFonts w:ascii="Times New Roman" w:hAnsi="Times New Roman"/>
                      <w:sz w:val="20"/>
                      <w:lang w:eastAsia="lt-LT"/>
                    </w:rPr>
                  </w:pPr>
                </w:p>
              </w:tc>
              <w:tc>
                <w:tcPr>
                  <w:tcW w:w="1276" w:type="dxa"/>
                  <w:tcBorders>
                    <w:top w:val="nil"/>
                    <w:left w:val="single" w:sz="4" w:space="0" w:color="auto"/>
                    <w:bottom w:val="single" w:sz="4" w:space="0" w:color="auto"/>
                    <w:right w:val="single" w:sz="4" w:space="0" w:color="auto"/>
                  </w:tcBorders>
                  <w:noWrap/>
                  <w:vAlign w:val="bottom"/>
                  <w:hideMark/>
                </w:tcPr>
                <w:p w14:paraId="5D0246D0" w14:textId="77777777" w:rsidR="00366C16" w:rsidRPr="00366C16" w:rsidRDefault="00366C16" w:rsidP="00366C16">
                  <w:pPr>
                    <w:spacing w:after="0" w:line="259" w:lineRule="auto"/>
                    <w:jc w:val="right"/>
                    <w:rPr>
                      <w:rFonts w:ascii="Times New Roman" w:hAnsi="Times New Roman"/>
                      <w:color w:val="000000"/>
                      <w:sz w:val="20"/>
                      <w:lang w:eastAsia="lt-LT"/>
                    </w:rPr>
                  </w:pPr>
                  <w:r w:rsidRPr="00366C16">
                    <w:rPr>
                      <w:rFonts w:ascii="Times New Roman" w:hAnsi="Times New Roman"/>
                      <w:color w:val="000000"/>
                      <w:sz w:val="20"/>
                      <w:lang w:eastAsia="lt-LT"/>
                    </w:rPr>
                    <w:t>0</w:t>
                  </w:r>
                </w:p>
              </w:tc>
              <w:tc>
                <w:tcPr>
                  <w:tcW w:w="1134" w:type="dxa"/>
                  <w:tcBorders>
                    <w:top w:val="nil"/>
                    <w:left w:val="nil"/>
                    <w:bottom w:val="single" w:sz="4" w:space="0" w:color="auto"/>
                    <w:right w:val="single" w:sz="4" w:space="0" w:color="auto"/>
                  </w:tcBorders>
                  <w:noWrap/>
                  <w:vAlign w:val="bottom"/>
                  <w:hideMark/>
                </w:tcPr>
                <w:p w14:paraId="3B637AE5" w14:textId="77777777" w:rsidR="00366C16" w:rsidRPr="00366C16" w:rsidRDefault="00366C16" w:rsidP="00366C16">
                  <w:pPr>
                    <w:spacing w:after="0" w:line="259" w:lineRule="auto"/>
                    <w:jc w:val="right"/>
                    <w:rPr>
                      <w:rFonts w:ascii="Times New Roman" w:hAnsi="Times New Roman"/>
                      <w:color w:val="000000"/>
                      <w:sz w:val="20"/>
                      <w:lang w:eastAsia="lt-LT"/>
                    </w:rPr>
                  </w:pPr>
                  <w:r w:rsidRPr="00366C16">
                    <w:rPr>
                      <w:rFonts w:ascii="Times New Roman" w:hAnsi="Times New Roman"/>
                      <w:color w:val="000000"/>
                      <w:sz w:val="20"/>
                      <w:lang w:eastAsia="lt-LT"/>
                    </w:rPr>
                    <w:t>-477 164</w:t>
                  </w:r>
                </w:p>
              </w:tc>
              <w:tc>
                <w:tcPr>
                  <w:tcW w:w="1134" w:type="dxa"/>
                  <w:gridSpan w:val="2"/>
                  <w:noWrap/>
                  <w:vAlign w:val="bottom"/>
                  <w:hideMark/>
                </w:tcPr>
                <w:p w14:paraId="726E7B28" w14:textId="77777777" w:rsidR="00366C16" w:rsidRPr="00366C16" w:rsidRDefault="00366C16" w:rsidP="00366C16">
                  <w:pPr>
                    <w:spacing w:after="0" w:line="259" w:lineRule="auto"/>
                    <w:rPr>
                      <w:rFonts w:ascii="Times New Roman" w:hAnsi="Times New Roman"/>
                      <w:color w:val="000000"/>
                      <w:sz w:val="20"/>
                      <w:lang w:eastAsia="lt-LT"/>
                    </w:rPr>
                  </w:pPr>
                </w:p>
              </w:tc>
              <w:tc>
                <w:tcPr>
                  <w:tcW w:w="992" w:type="dxa"/>
                  <w:gridSpan w:val="2"/>
                  <w:noWrap/>
                  <w:vAlign w:val="bottom"/>
                  <w:hideMark/>
                </w:tcPr>
                <w:p w14:paraId="137790D0" w14:textId="77777777" w:rsidR="00366C16" w:rsidRPr="00366C16" w:rsidRDefault="00366C16" w:rsidP="00366C16">
                  <w:pPr>
                    <w:spacing w:after="0" w:line="259" w:lineRule="auto"/>
                    <w:rPr>
                      <w:rFonts w:ascii="Times New Roman" w:hAnsi="Times New Roman"/>
                      <w:sz w:val="20"/>
                      <w:lang w:eastAsia="lt-LT"/>
                    </w:rPr>
                  </w:pPr>
                </w:p>
              </w:tc>
              <w:tc>
                <w:tcPr>
                  <w:tcW w:w="1134" w:type="dxa"/>
                  <w:gridSpan w:val="2"/>
                  <w:noWrap/>
                  <w:vAlign w:val="bottom"/>
                  <w:hideMark/>
                </w:tcPr>
                <w:p w14:paraId="6CFB48F6" w14:textId="77777777" w:rsidR="00366C16" w:rsidRPr="00366C16" w:rsidRDefault="00366C16" w:rsidP="00366C16">
                  <w:pPr>
                    <w:spacing w:after="0" w:line="259" w:lineRule="auto"/>
                    <w:rPr>
                      <w:rFonts w:ascii="Times New Roman" w:hAnsi="Times New Roman"/>
                      <w:sz w:val="20"/>
                      <w:lang w:eastAsia="lt-LT"/>
                    </w:rPr>
                  </w:pPr>
                </w:p>
              </w:tc>
              <w:tc>
                <w:tcPr>
                  <w:tcW w:w="992" w:type="dxa"/>
                  <w:gridSpan w:val="2"/>
                  <w:noWrap/>
                  <w:vAlign w:val="bottom"/>
                  <w:hideMark/>
                </w:tcPr>
                <w:p w14:paraId="7F2AF78E" w14:textId="77777777" w:rsidR="00366C16" w:rsidRPr="00366C16" w:rsidRDefault="00366C16" w:rsidP="00366C16">
                  <w:pPr>
                    <w:spacing w:after="0" w:line="259" w:lineRule="auto"/>
                    <w:rPr>
                      <w:rFonts w:ascii="Times New Roman" w:hAnsi="Times New Roman"/>
                      <w:sz w:val="20"/>
                      <w:lang w:eastAsia="lt-LT"/>
                    </w:rPr>
                  </w:pPr>
                </w:p>
              </w:tc>
              <w:tc>
                <w:tcPr>
                  <w:tcW w:w="992" w:type="dxa"/>
                  <w:gridSpan w:val="2"/>
                  <w:noWrap/>
                  <w:vAlign w:val="bottom"/>
                  <w:hideMark/>
                </w:tcPr>
                <w:p w14:paraId="2E67FBE5" w14:textId="77777777" w:rsidR="00366C16" w:rsidRPr="00366C16" w:rsidRDefault="00366C16" w:rsidP="00366C16">
                  <w:pPr>
                    <w:spacing w:after="0" w:line="259" w:lineRule="auto"/>
                    <w:rPr>
                      <w:rFonts w:ascii="Times New Roman" w:hAnsi="Times New Roman"/>
                      <w:sz w:val="20"/>
                      <w:lang w:eastAsia="lt-LT"/>
                    </w:rPr>
                  </w:pPr>
                </w:p>
              </w:tc>
            </w:tr>
            <w:tr w:rsidR="00366C16" w:rsidRPr="00366C16" w14:paraId="365EBDC1" w14:textId="77777777" w:rsidTr="008768A3">
              <w:trPr>
                <w:trHeight w:val="300"/>
              </w:trPr>
              <w:tc>
                <w:tcPr>
                  <w:tcW w:w="2327" w:type="dxa"/>
                  <w:gridSpan w:val="4"/>
                  <w:noWrap/>
                  <w:vAlign w:val="bottom"/>
                  <w:hideMark/>
                </w:tcPr>
                <w:p w14:paraId="74F8B167" w14:textId="77777777" w:rsidR="00366C16" w:rsidRPr="00366C16" w:rsidRDefault="00366C16" w:rsidP="00366C16">
                  <w:pPr>
                    <w:spacing w:after="0" w:line="259" w:lineRule="auto"/>
                    <w:rPr>
                      <w:rFonts w:ascii="Times New Roman" w:hAnsi="Times New Roman"/>
                      <w:sz w:val="20"/>
                      <w:lang w:eastAsia="lt-LT"/>
                    </w:rPr>
                  </w:pPr>
                </w:p>
              </w:tc>
              <w:tc>
                <w:tcPr>
                  <w:tcW w:w="1276" w:type="dxa"/>
                  <w:noWrap/>
                  <w:vAlign w:val="bottom"/>
                  <w:hideMark/>
                </w:tcPr>
                <w:p w14:paraId="03BAB0C9" w14:textId="77777777" w:rsidR="00366C16" w:rsidRPr="00366C16" w:rsidRDefault="00366C16" w:rsidP="00366C16">
                  <w:pPr>
                    <w:spacing w:after="0" w:line="259" w:lineRule="auto"/>
                    <w:rPr>
                      <w:rFonts w:ascii="Times New Roman" w:hAnsi="Times New Roman"/>
                      <w:sz w:val="20"/>
                      <w:lang w:eastAsia="lt-LT"/>
                    </w:rPr>
                  </w:pPr>
                </w:p>
              </w:tc>
              <w:tc>
                <w:tcPr>
                  <w:tcW w:w="1134" w:type="dxa"/>
                  <w:noWrap/>
                  <w:vAlign w:val="bottom"/>
                  <w:hideMark/>
                </w:tcPr>
                <w:p w14:paraId="2C1CC5F2" w14:textId="77777777" w:rsidR="00366C16" w:rsidRPr="00366C16" w:rsidRDefault="00366C16" w:rsidP="00366C16">
                  <w:pPr>
                    <w:spacing w:after="0" w:line="259" w:lineRule="auto"/>
                    <w:rPr>
                      <w:rFonts w:ascii="Times New Roman" w:hAnsi="Times New Roman"/>
                      <w:sz w:val="20"/>
                      <w:lang w:eastAsia="lt-LT"/>
                    </w:rPr>
                  </w:pPr>
                </w:p>
              </w:tc>
              <w:tc>
                <w:tcPr>
                  <w:tcW w:w="1134" w:type="dxa"/>
                  <w:gridSpan w:val="2"/>
                  <w:noWrap/>
                  <w:vAlign w:val="bottom"/>
                  <w:hideMark/>
                </w:tcPr>
                <w:p w14:paraId="66E28DDC" w14:textId="77777777" w:rsidR="00366C16" w:rsidRPr="00366C16" w:rsidRDefault="00366C16" w:rsidP="00366C16">
                  <w:pPr>
                    <w:spacing w:after="0" w:line="259" w:lineRule="auto"/>
                    <w:rPr>
                      <w:rFonts w:ascii="Times New Roman" w:hAnsi="Times New Roman"/>
                      <w:sz w:val="20"/>
                      <w:lang w:eastAsia="lt-LT"/>
                    </w:rPr>
                  </w:pPr>
                </w:p>
              </w:tc>
              <w:tc>
                <w:tcPr>
                  <w:tcW w:w="992" w:type="dxa"/>
                  <w:gridSpan w:val="2"/>
                  <w:noWrap/>
                  <w:vAlign w:val="bottom"/>
                  <w:hideMark/>
                </w:tcPr>
                <w:p w14:paraId="1C690C90" w14:textId="77777777" w:rsidR="00366C16" w:rsidRPr="00366C16" w:rsidRDefault="00366C16" w:rsidP="00366C16">
                  <w:pPr>
                    <w:spacing w:after="0" w:line="259" w:lineRule="auto"/>
                    <w:rPr>
                      <w:rFonts w:ascii="Times New Roman" w:hAnsi="Times New Roman"/>
                      <w:sz w:val="20"/>
                      <w:lang w:eastAsia="lt-LT"/>
                    </w:rPr>
                  </w:pPr>
                </w:p>
              </w:tc>
              <w:tc>
                <w:tcPr>
                  <w:tcW w:w="1134" w:type="dxa"/>
                  <w:gridSpan w:val="2"/>
                  <w:noWrap/>
                  <w:vAlign w:val="bottom"/>
                  <w:hideMark/>
                </w:tcPr>
                <w:p w14:paraId="0513A969" w14:textId="77777777" w:rsidR="00366C16" w:rsidRPr="00366C16" w:rsidRDefault="00366C16" w:rsidP="00366C16">
                  <w:pPr>
                    <w:spacing w:after="0" w:line="259" w:lineRule="auto"/>
                    <w:rPr>
                      <w:rFonts w:ascii="Times New Roman" w:hAnsi="Times New Roman"/>
                      <w:sz w:val="20"/>
                      <w:lang w:eastAsia="lt-LT"/>
                    </w:rPr>
                  </w:pPr>
                </w:p>
              </w:tc>
              <w:tc>
                <w:tcPr>
                  <w:tcW w:w="992" w:type="dxa"/>
                  <w:gridSpan w:val="2"/>
                  <w:noWrap/>
                  <w:vAlign w:val="bottom"/>
                  <w:hideMark/>
                </w:tcPr>
                <w:p w14:paraId="5E56E45B" w14:textId="77777777" w:rsidR="00366C16" w:rsidRPr="00366C16" w:rsidRDefault="00366C16" w:rsidP="00366C16">
                  <w:pPr>
                    <w:spacing w:after="0" w:line="259" w:lineRule="auto"/>
                    <w:rPr>
                      <w:rFonts w:ascii="Times New Roman" w:hAnsi="Times New Roman"/>
                      <w:sz w:val="20"/>
                      <w:lang w:eastAsia="lt-LT"/>
                    </w:rPr>
                  </w:pPr>
                </w:p>
              </w:tc>
              <w:tc>
                <w:tcPr>
                  <w:tcW w:w="992" w:type="dxa"/>
                  <w:gridSpan w:val="2"/>
                  <w:noWrap/>
                  <w:vAlign w:val="bottom"/>
                  <w:hideMark/>
                </w:tcPr>
                <w:p w14:paraId="46834E46" w14:textId="77777777" w:rsidR="00366C16" w:rsidRPr="00366C16" w:rsidRDefault="00366C16" w:rsidP="00366C16">
                  <w:pPr>
                    <w:spacing w:after="0" w:line="259" w:lineRule="auto"/>
                    <w:rPr>
                      <w:rFonts w:ascii="Times New Roman" w:hAnsi="Times New Roman"/>
                      <w:sz w:val="20"/>
                      <w:lang w:eastAsia="lt-LT"/>
                    </w:rPr>
                  </w:pPr>
                </w:p>
              </w:tc>
            </w:tr>
            <w:tr w:rsidR="00366C16" w:rsidRPr="00366C16" w14:paraId="7FE9601C" w14:textId="77777777" w:rsidTr="008768A3">
              <w:trPr>
                <w:trHeight w:val="300"/>
              </w:trPr>
              <w:tc>
                <w:tcPr>
                  <w:tcW w:w="2327" w:type="dxa"/>
                  <w:gridSpan w:val="4"/>
                  <w:noWrap/>
                  <w:vAlign w:val="bottom"/>
                  <w:hideMark/>
                </w:tcPr>
                <w:p w14:paraId="6BA26549" w14:textId="77777777" w:rsidR="00366C16" w:rsidRPr="00366C16" w:rsidRDefault="00366C16" w:rsidP="00366C16">
                  <w:pPr>
                    <w:spacing w:after="0" w:line="259" w:lineRule="auto"/>
                    <w:rPr>
                      <w:rFonts w:ascii="Times New Roman" w:hAnsi="Times New Roman"/>
                      <w:sz w:val="20"/>
                      <w:lang w:eastAsia="lt-LT"/>
                    </w:rPr>
                  </w:pP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501488FF" w14:textId="77777777" w:rsidR="00366C16" w:rsidRPr="00366C16" w:rsidRDefault="00366C16" w:rsidP="00366C16">
                  <w:pPr>
                    <w:spacing w:after="0" w:line="259" w:lineRule="auto"/>
                    <w:jc w:val="right"/>
                    <w:rPr>
                      <w:rFonts w:ascii="Times New Roman" w:hAnsi="Times New Roman"/>
                      <w:b/>
                      <w:color w:val="000000"/>
                      <w:sz w:val="20"/>
                      <w:lang w:eastAsia="lt-LT"/>
                    </w:rPr>
                  </w:pPr>
                  <w:r w:rsidRPr="00366C16">
                    <w:rPr>
                      <w:rFonts w:ascii="Times New Roman" w:hAnsi="Times New Roman"/>
                      <w:b/>
                      <w:color w:val="000000"/>
                      <w:sz w:val="20"/>
                      <w:lang w:eastAsia="lt-LT"/>
                    </w:rPr>
                    <w:t>2017</w:t>
                  </w:r>
                </w:p>
              </w:tc>
              <w:tc>
                <w:tcPr>
                  <w:tcW w:w="1134" w:type="dxa"/>
                  <w:tcBorders>
                    <w:top w:val="single" w:sz="4" w:space="0" w:color="auto"/>
                    <w:left w:val="nil"/>
                    <w:bottom w:val="single" w:sz="4" w:space="0" w:color="auto"/>
                    <w:right w:val="single" w:sz="4" w:space="0" w:color="auto"/>
                  </w:tcBorders>
                  <w:noWrap/>
                  <w:vAlign w:val="bottom"/>
                  <w:hideMark/>
                </w:tcPr>
                <w:p w14:paraId="3ED872A2" w14:textId="77777777" w:rsidR="00366C16" w:rsidRPr="00366C16" w:rsidRDefault="00366C16" w:rsidP="00366C16">
                  <w:pPr>
                    <w:spacing w:after="0" w:line="259" w:lineRule="auto"/>
                    <w:jc w:val="right"/>
                    <w:rPr>
                      <w:rFonts w:ascii="Times New Roman" w:hAnsi="Times New Roman"/>
                      <w:b/>
                      <w:color w:val="000000"/>
                      <w:sz w:val="20"/>
                      <w:lang w:eastAsia="lt-LT"/>
                    </w:rPr>
                  </w:pPr>
                  <w:r w:rsidRPr="00366C16">
                    <w:rPr>
                      <w:rFonts w:ascii="Times New Roman" w:hAnsi="Times New Roman"/>
                      <w:b/>
                      <w:color w:val="000000"/>
                      <w:sz w:val="20"/>
                      <w:lang w:eastAsia="lt-LT"/>
                    </w:rPr>
                    <w:t>2018</w:t>
                  </w:r>
                </w:p>
              </w:tc>
              <w:tc>
                <w:tcPr>
                  <w:tcW w:w="1134" w:type="dxa"/>
                  <w:gridSpan w:val="2"/>
                  <w:tcBorders>
                    <w:top w:val="single" w:sz="4" w:space="0" w:color="auto"/>
                    <w:left w:val="nil"/>
                    <w:bottom w:val="single" w:sz="4" w:space="0" w:color="auto"/>
                    <w:right w:val="single" w:sz="4" w:space="0" w:color="auto"/>
                  </w:tcBorders>
                  <w:noWrap/>
                  <w:vAlign w:val="bottom"/>
                  <w:hideMark/>
                </w:tcPr>
                <w:p w14:paraId="10B27C15" w14:textId="77777777" w:rsidR="00366C16" w:rsidRPr="00366C16" w:rsidRDefault="00366C16" w:rsidP="00366C16">
                  <w:pPr>
                    <w:spacing w:after="0" w:line="259" w:lineRule="auto"/>
                    <w:jc w:val="right"/>
                    <w:rPr>
                      <w:rFonts w:ascii="Times New Roman" w:hAnsi="Times New Roman"/>
                      <w:b/>
                      <w:color w:val="000000"/>
                      <w:sz w:val="20"/>
                      <w:lang w:eastAsia="lt-LT"/>
                    </w:rPr>
                  </w:pPr>
                  <w:r w:rsidRPr="00366C16">
                    <w:rPr>
                      <w:rFonts w:ascii="Times New Roman" w:hAnsi="Times New Roman"/>
                      <w:b/>
                      <w:color w:val="000000"/>
                      <w:sz w:val="20"/>
                      <w:lang w:eastAsia="lt-LT"/>
                    </w:rPr>
                    <w:t>2019</w:t>
                  </w:r>
                </w:p>
              </w:tc>
              <w:tc>
                <w:tcPr>
                  <w:tcW w:w="992" w:type="dxa"/>
                  <w:gridSpan w:val="2"/>
                  <w:tcBorders>
                    <w:top w:val="single" w:sz="4" w:space="0" w:color="auto"/>
                    <w:left w:val="nil"/>
                    <w:bottom w:val="single" w:sz="4" w:space="0" w:color="auto"/>
                    <w:right w:val="single" w:sz="4" w:space="0" w:color="auto"/>
                  </w:tcBorders>
                  <w:noWrap/>
                  <w:vAlign w:val="bottom"/>
                  <w:hideMark/>
                </w:tcPr>
                <w:p w14:paraId="2A4EF331" w14:textId="77777777" w:rsidR="00366C16" w:rsidRPr="00366C16" w:rsidRDefault="00366C16" w:rsidP="00366C16">
                  <w:pPr>
                    <w:spacing w:after="0" w:line="259" w:lineRule="auto"/>
                    <w:jc w:val="right"/>
                    <w:rPr>
                      <w:rFonts w:ascii="Times New Roman" w:hAnsi="Times New Roman"/>
                      <w:b/>
                      <w:color w:val="000000"/>
                      <w:sz w:val="20"/>
                      <w:lang w:eastAsia="lt-LT"/>
                    </w:rPr>
                  </w:pPr>
                  <w:r w:rsidRPr="00366C16">
                    <w:rPr>
                      <w:rFonts w:ascii="Times New Roman" w:hAnsi="Times New Roman"/>
                      <w:b/>
                      <w:color w:val="000000"/>
                      <w:sz w:val="20"/>
                      <w:lang w:eastAsia="lt-LT"/>
                    </w:rPr>
                    <w:t>2020</w:t>
                  </w:r>
                </w:p>
              </w:tc>
              <w:tc>
                <w:tcPr>
                  <w:tcW w:w="1134" w:type="dxa"/>
                  <w:gridSpan w:val="2"/>
                  <w:tcBorders>
                    <w:top w:val="single" w:sz="4" w:space="0" w:color="auto"/>
                    <w:left w:val="nil"/>
                    <w:bottom w:val="single" w:sz="4" w:space="0" w:color="auto"/>
                    <w:right w:val="single" w:sz="4" w:space="0" w:color="auto"/>
                  </w:tcBorders>
                  <w:noWrap/>
                  <w:vAlign w:val="bottom"/>
                  <w:hideMark/>
                </w:tcPr>
                <w:p w14:paraId="31D4762B" w14:textId="77777777" w:rsidR="00366C16" w:rsidRPr="00366C16" w:rsidRDefault="00366C16" w:rsidP="00366C16">
                  <w:pPr>
                    <w:spacing w:after="0" w:line="259" w:lineRule="auto"/>
                    <w:jc w:val="right"/>
                    <w:rPr>
                      <w:rFonts w:ascii="Times New Roman" w:hAnsi="Times New Roman"/>
                      <w:b/>
                      <w:color w:val="000000"/>
                      <w:sz w:val="20"/>
                      <w:lang w:eastAsia="lt-LT"/>
                    </w:rPr>
                  </w:pPr>
                  <w:r w:rsidRPr="00366C16">
                    <w:rPr>
                      <w:rFonts w:ascii="Times New Roman" w:hAnsi="Times New Roman"/>
                      <w:b/>
                      <w:color w:val="000000"/>
                      <w:sz w:val="20"/>
                      <w:lang w:eastAsia="lt-LT"/>
                    </w:rPr>
                    <w:t>2021</w:t>
                  </w:r>
                </w:p>
              </w:tc>
              <w:tc>
                <w:tcPr>
                  <w:tcW w:w="992" w:type="dxa"/>
                  <w:gridSpan w:val="2"/>
                  <w:tcBorders>
                    <w:top w:val="single" w:sz="4" w:space="0" w:color="auto"/>
                    <w:left w:val="nil"/>
                    <w:bottom w:val="single" w:sz="4" w:space="0" w:color="auto"/>
                    <w:right w:val="single" w:sz="4" w:space="0" w:color="auto"/>
                  </w:tcBorders>
                  <w:noWrap/>
                  <w:vAlign w:val="bottom"/>
                  <w:hideMark/>
                </w:tcPr>
                <w:p w14:paraId="3EC62185" w14:textId="77777777" w:rsidR="00366C16" w:rsidRPr="00366C16" w:rsidRDefault="00366C16" w:rsidP="00366C16">
                  <w:pPr>
                    <w:spacing w:after="0" w:line="259" w:lineRule="auto"/>
                    <w:jc w:val="right"/>
                    <w:rPr>
                      <w:rFonts w:ascii="Times New Roman" w:hAnsi="Times New Roman"/>
                      <w:b/>
                      <w:color w:val="000000"/>
                      <w:sz w:val="20"/>
                      <w:lang w:eastAsia="lt-LT"/>
                    </w:rPr>
                  </w:pPr>
                  <w:r w:rsidRPr="00366C16">
                    <w:rPr>
                      <w:rFonts w:ascii="Times New Roman" w:hAnsi="Times New Roman"/>
                      <w:b/>
                      <w:color w:val="000000"/>
                      <w:sz w:val="20"/>
                      <w:lang w:eastAsia="lt-LT"/>
                    </w:rPr>
                    <w:t>2022</w:t>
                  </w:r>
                </w:p>
              </w:tc>
              <w:tc>
                <w:tcPr>
                  <w:tcW w:w="992" w:type="dxa"/>
                  <w:gridSpan w:val="2"/>
                  <w:tcBorders>
                    <w:top w:val="single" w:sz="4" w:space="0" w:color="auto"/>
                    <w:left w:val="nil"/>
                    <w:bottom w:val="single" w:sz="4" w:space="0" w:color="auto"/>
                    <w:right w:val="single" w:sz="4" w:space="0" w:color="auto"/>
                  </w:tcBorders>
                  <w:noWrap/>
                  <w:vAlign w:val="bottom"/>
                  <w:hideMark/>
                </w:tcPr>
                <w:p w14:paraId="5200B33F" w14:textId="77777777" w:rsidR="00366C16" w:rsidRPr="00366C16" w:rsidRDefault="00366C16" w:rsidP="00366C16">
                  <w:pPr>
                    <w:spacing w:after="0" w:line="259" w:lineRule="auto"/>
                    <w:jc w:val="right"/>
                    <w:rPr>
                      <w:rFonts w:ascii="Times New Roman" w:hAnsi="Times New Roman"/>
                      <w:b/>
                      <w:color w:val="000000"/>
                      <w:sz w:val="20"/>
                      <w:lang w:eastAsia="lt-LT"/>
                    </w:rPr>
                  </w:pPr>
                  <w:r w:rsidRPr="00366C16">
                    <w:rPr>
                      <w:rFonts w:ascii="Times New Roman" w:hAnsi="Times New Roman"/>
                      <w:b/>
                      <w:color w:val="000000"/>
                      <w:sz w:val="20"/>
                      <w:lang w:eastAsia="lt-LT"/>
                    </w:rPr>
                    <w:t>2023</w:t>
                  </w:r>
                </w:p>
              </w:tc>
            </w:tr>
            <w:tr w:rsidR="00366C16" w:rsidRPr="00366C16" w14:paraId="5F08619F" w14:textId="77777777" w:rsidTr="008768A3">
              <w:trPr>
                <w:trHeight w:val="510"/>
              </w:trPr>
              <w:tc>
                <w:tcPr>
                  <w:tcW w:w="2327" w:type="dxa"/>
                  <w:gridSpan w:val="4"/>
                  <w:tcBorders>
                    <w:top w:val="single" w:sz="4" w:space="0" w:color="auto"/>
                    <w:left w:val="single" w:sz="4" w:space="0" w:color="auto"/>
                    <w:bottom w:val="single" w:sz="4" w:space="0" w:color="auto"/>
                    <w:right w:val="single" w:sz="4" w:space="0" w:color="auto"/>
                  </w:tcBorders>
                  <w:hideMark/>
                </w:tcPr>
                <w:p w14:paraId="3719056A" w14:textId="77777777" w:rsidR="00366C16" w:rsidRPr="00366C16" w:rsidRDefault="00366C16" w:rsidP="00366C16">
                  <w:pPr>
                    <w:spacing w:after="0" w:line="259" w:lineRule="auto"/>
                    <w:rPr>
                      <w:rFonts w:ascii="Times New Roman" w:hAnsi="Times New Roman"/>
                      <w:color w:val="000000"/>
                      <w:sz w:val="20"/>
                      <w:lang w:eastAsia="lt-LT"/>
                    </w:rPr>
                  </w:pPr>
                  <w:r w:rsidRPr="00366C16">
                    <w:rPr>
                      <w:rFonts w:ascii="Times New Roman" w:hAnsi="Times New Roman"/>
                      <w:color w:val="000000"/>
                      <w:sz w:val="20"/>
                      <w:lang w:eastAsia="lt-LT"/>
                    </w:rPr>
                    <w:t>Pagrindinės veiklos pinigų srautai</w:t>
                  </w:r>
                </w:p>
              </w:tc>
              <w:tc>
                <w:tcPr>
                  <w:tcW w:w="1276" w:type="dxa"/>
                  <w:tcBorders>
                    <w:top w:val="nil"/>
                    <w:left w:val="nil"/>
                    <w:bottom w:val="single" w:sz="4" w:space="0" w:color="auto"/>
                    <w:right w:val="single" w:sz="4" w:space="0" w:color="auto"/>
                  </w:tcBorders>
                  <w:noWrap/>
                  <w:vAlign w:val="bottom"/>
                  <w:hideMark/>
                </w:tcPr>
                <w:p w14:paraId="55F17512" w14:textId="77777777" w:rsidR="00366C16" w:rsidRPr="00366C16" w:rsidRDefault="00366C16" w:rsidP="00366C16">
                  <w:pPr>
                    <w:spacing w:after="0" w:line="259" w:lineRule="auto"/>
                    <w:jc w:val="right"/>
                    <w:rPr>
                      <w:rFonts w:ascii="Times New Roman" w:hAnsi="Times New Roman"/>
                      <w:color w:val="000000"/>
                      <w:sz w:val="20"/>
                      <w:lang w:eastAsia="lt-LT"/>
                    </w:rPr>
                  </w:pPr>
                  <w:r w:rsidRPr="00366C16">
                    <w:rPr>
                      <w:rFonts w:ascii="Times New Roman" w:hAnsi="Times New Roman"/>
                      <w:color w:val="000000"/>
                      <w:sz w:val="20"/>
                      <w:lang w:eastAsia="lt-LT"/>
                    </w:rPr>
                    <w:t>-1 030</w:t>
                  </w:r>
                </w:p>
              </w:tc>
              <w:tc>
                <w:tcPr>
                  <w:tcW w:w="1134" w:type="dxa"/>
                  <w:tcBorders>
                    <w:top w:val="nil"/>
                    <w:left w:val="nil"/>
                    <w:bottom w:val="single" w:sz="4" w:space="0" w:color="auto"/>
                    <w:right w:val="single" w:sz="4" w:space="0" w:color="auto"/>
                  </w:tcBorders>
                  <w:noWrap/>
                  <w:vAlign w:val="bottom"/>
                  <w:hideMark/>
                </w:tcPr>
                <w:p w14:paraId="2B250AE8" w14:textId="77777777" w:rsidR="00366C16" w:rsidRPr="00366C16" w:rsidRDefault="00366C16" w:rsidP="00366C16">
                  <w:pPr>
                    <w:spacing w:after="0" w:line="259" w:lineRule="auto"/>
                    <w:jc w:val="right"/>
                    <w:rPr>
                      <w:rFonts w:ascii="Times New Roman" w:hAnsi="Times New Roman"/>
                      <w:color w:val="000000"/>
                      <w:sz w:val="20"/>
                      <w:lang w:eastAsia="lt-LT"/>
                    </w:rPr>
                  </w:pPr>
                  <w:r w:rsidRPr="00366C16">
                    <w:rPr>
                      <w:rFonts w:ascii="Times New Roman" w:hAnsi="Times New Roman"/>
                      <w:color w:val="000000"/>
                      <w:sz w:val="20"/>
                      <w:lang w:eastAsia="lt-LT"/>
                    </w:rPr>
                    <w:t>-3 200</w:t>
                  </w:r>
                </w:p>
              </w:tc>
              <w:tc>
                <w:tcPr>
                  <w:tcW w:w="1134" w:type="dxa"/>
                  <w:gridSpan w:val="2"/>
                  <w:tcBorders>
                    <w:top w:val="nil"/>
                    <w:left w:val="nil"/>
                    <w:bottom w:val="single" w:sz="4" w:space="0" w:color="auto"/>
                    <w:right w:val="single" w:sz="4" w:space="0" w:color="auto"/>
                  </w:tcBorders>
                  <w:noWrap/>
                  <w:vAlign w:val="bottom"/>
                  <w:hideMark/>
                </w:tcPr>
                <w:p w14:paraId="4720382E" w14:textId="77777777" w:rsidR="00366C16" w:rsidRPr="00366C16" w:rsidRDefault="00366C16" w:rsidP="00366C16">
                  <w:pPr>
                    <w:spacing w:after="0" w:line="259" w:lineRule="auto"/>
                    <w:jc w:val="right"/>
                    <w:rPr>
                      <w:rFonts w:ascii="Times New Roman" w:hAnsi="Times New Roman"/>
                      <w:color w:val="000000"/>
                      <w:sz w:val="20"/>
                      <w:lang w:eastAsia="lt-LT"/>
                    </w:rPr>
                  </w:pPr>
                  <w:r w:rsidRPr="00366C16">
                    <w:rPr>
                      <w:rFonts w:ascii="Times New Roman" w:hAnsi="Times New Roman"/>
                      <w:color w:val="000000"/>
                      <w:sz w:val="20"/>
                      <w:lang w:eastAsia="lt-LT"/>
                    </w:rPr>
                    <w:t>-158 640</w:t>
                  </w:r>
                </w:p>
              </w:tc>
              <w:tc>
                <w:tcPr>
                  <w:tcW w:w="992" w:type="dxa"/>
                  <w:gridSpan w:val="2"/>
                  <w:tcBorders>
                    <w:top w:val="nil"/>
                    <w:left w:val="nil"/>
                    <w:bottom w:val="single" w:sz="4" w:space="0" w:color="auto"/>
                    <w:right w:val="single" w:sz="4" w:space="0" w:color="auto"/>
                  </w:tcBorders>
                  <w:noWrap/>
                  <w:vAlign w:val="bottom"/>
                  <w:hideMark/>
                </w:tcPr>
                <w:p w14:paraId="3A1804A5" w14:textId="77777777" w:rsidR="00366C16" w:rsidRPr="00366C16" w:rsidRDefault="00366C16" w:rsidP="00366C16">
                  <w:pPr>
                    <w:spacing w:after="0" w:line="259" w:lineRule="auto"/>
                    <w:jc w:val="right"/>
                    <w:rPr>
                      <w:rFonts w:ascii="Times New Roman" w:hAnsi="Times New Roman"/>
                      <w:color w:val="000000"/>
                      <w:sz w:val="20"/>
                      <w:lang w:eastAsia="lt-LT"/>
                    </w:rPr>
                  </w:pPr>
                  <w:r w:rsidRPr="00366C16">
                    <w:rPr>
                      <w:rFonts w:ascii="Times New Roman" w:hAnsi="Times New Roman"/>
                      <w:color w:val="000000"/>
                      <w:sz w:val="20"/>
                      <w:lang w:eastAsia="lt-LT"/>
                    </w:rPr>
                    <w:t>326 672</w:t>
                  </w:r>
                </w:p>
              </w:tc>
              <w:tc>
                <w:tcPr>
                  <w:tcW w:w="1134" w:type="dxa"/>
                  <w:gridSpan w:val="2"/>
                  <w:tcBorders>
                    <w:top w:val="nil"/>
                    <w:left w:val="nil"/>
                    <w:bottom w:val="single" w:sz="4" w:space="0" w:color="auto"/>
                    <w:right w:val="single" w:sz="4" w:space="0" w:color="auto"/>
                  </w:tcBorders>
                  <w:noWrap/>
                  <w:vAlign w:val="bottom"/>
                  <w:hideMark/>
                </w:tcPr>
                <w:p w14:paraId="4676EFCE" w14:textId="77777777" w:rsidR="00366C16" w:rsidRPr="00366C16" w:rsidRDefault="00366C16" w:rsidP="00366C16">
                  <w:pPr>
                    <w:spacing w:after="0" w:line="259" w:lineRule="auto"/>
                    <w:jc w:val="right"/>
                    <w:rPr>
                      <w:rFonts w:ascii="Times New Roman" w:hAnsi="Times New Roman"/>
                      <w:color w:val="000000"/>
                      <w:sz w:val="20"/>
                      <w:lang w:eastAsia="lt-LT"/>
                    </w:rPr>
                  </w:pPr>
                  <w:r w:rsidRPr="00366C16">
                    <w:rPr>
                      <w:rFonts w:ascii="Times New Roman" w:hAnsi="Times New Roman"/>
                      <w:color w:val="000000"/>
                      <w:sz w:val="20"/>
                      <w:lang w:eastAsia="lt-LT"/>
                    </w:rPr>
                    <w:t>611 560</w:t>
                  </w:r>
                </w:p>
              </w:tc>
              <w:tc>
                <w:tcPr>
                  <w:tcW w:w="992" w:type="dxa"/>
                  <w:gridSpan w:val="2"/>
                  <w:tcBorders>
                    <w:top w:val="nil"/>
                    <w:left w:val="nil"/>
                    <w:bottom w:val="single" w:sz="4" w:space="0" w:color="auto"/>
                    <w:right w:val="single" w:sz="4" w:space="0" w:color="auto"/>
                  </w:tcBorders>
                  <w:noWrap/>
                  <w:vAlign w:val="bottom"/>
                  <w:hideMark/>
                </w:tcPr>
                <w:p w14:paraId="5BDA7EB6" w14:textId="77777777" w:rsidR="00366C16" w:rsidRPr="00366C16" w:rsidRDefault="00366C16" w:rsidP="00366C16">
                  <w:pPr>
                    <w:spacing w:after="0" w:line="259" w:lineRule="auto"/>
                    <w:jc w:val="right"/>
                    <w:rPr>
                      <w:rFonts w:ascii="Times New Roman" w:hAnsi="Times New Roman"/>
                      <w:color w:val="000000"/>
                      <w:sz w:val="20"/>
                      <w:lang w:eastAsia="lt-LT"/>
                    </w:rPr>
                  </w:pPr>
                  <w:r w:rsidRPr="00366C16">
                    <w:rPr>
                      <w:rFonts w:ascii="Times New Roman" w:hAnsi="Times New Roman"/>
                      <w:color w:val="000000"/>
                      <w:sz w:val="20"/>
                      <w:lang w:eastAsia="lt-LT"/>
                    </w:rPr>
                    <w:t>622 530</w:t>
                  </w:r>
                </w:p>
              </w:tc>
              <w:tc>
                <w:tcPr>
                  <w:tcW w:w="992" w:type="dxa"/>
                  <w:gridSpan w:val="2"/>
                  <w:tcBorders>
                    <w:top w:val="nil"/>
                    <w:left w:val="nil"/>
                    <w:bottom w:val="single" w:sz="4" w:space="0" w:color="auto"/>
                    <w:right w:val="single" w:sz="4" w:space="0" w:color="auto"/>
                  </w:tcBorders>
                  <w:noWrap/>
                  <w:vAlign w:val="bottom"/>
                  <w:hideMark/>
                </w:tcPr>
                <w:p w14:paraId="683BF3E4" w14:textId="77777777" w:rsidR="00366C16" w:rsidRPr="00366C16" w:rsidRDefault="00366C16" w:rsidP="00366C16">
                  <w:pPr>
                    <w:spacing w:after="0" w:line="259" w:lineRule="auto"/>
                    <w:jc w:val="right"/>
                    <w:rPr>
                      <w:rFonts w:ascii="Times New Roman" w:hAnsi="Times New Roman"/>
                      <w:color w:val="000000"/>
                      <w:sz w:val="20"/>
                      <w:lang w:eastAsia="lt-LT"/>
                    </w:rPr>
                  </w:pPr>
                  <w:r w:rsidRPr="00366C16">
                    <w:rPr>
                      <w:rFonts w:ascii="Times New Roman" w:hAnsi="Times New Roman"/>
                      <w:color w:val="000000"/>
                      <w:sz w:val="20"/>
                      <w:lang w:eastAsia="lt-LT"/>
                    </w:rPr>
                    <w:t>637 710</w:t>
                  </w:r>
                </w:p>
              </w:tc>
            </w:tr>
            <w:tr w:rsidR="00366C16" w:rsidRPr="00366C16" w14:paraId="238F26AC" w14:textId="77777777" w:rsidTr="008768A3">
              <w:trPr>
                <w:trHeight w:val="510"/>
              </w:trPr>
              <w:tc>
                <w:tcPr>
                  <w:tcW w:w="2327" w:type="dxa"/>
                  <w:gridSpan w:val="4"/>
                  <w:tcBorders>
                    <w:top w:val="nil"/>
                    <w:left w:val="single" w:sz="4" w:space="0" w:color="auto"/>
                    <w:bottom w:val="single" w:sz="4" w:space="0" w:color="auto"/>
                    <w:right w:val="single" w:sz="4" w:space="0" w:color="auto"/>
                  </w:tcBorders>
                  <w:hideMark/>
                </w:tcPr>
                <w:p w14:paraId="5F95EAE6" w14:textId="77777777" w:rsidR="00366C16" w:rsidRPr="00366C16" w:rsidRDefault="00366C16" w:rsidP="00366C16">
                  <w:pPr>
                    <w:spacing w:after="0" w:line="259" w:lineRule="auto"/>
                    <w:rPr>
                      <w:rFonts w:ascii="Times New Roman" w:hAnsi="Times New Roman"/>
                      <w:color w:val="000000"/>
                      <w:sz w:val="20"/>
                      <w:lang w:eastAsia="lt-LT"/>
                    </w:rPr>
                  </w:pPr>
                  <w:r w:rsidRPr="00366C16">
                    <w:rPr>
                      <w:rFonts w:ascii="Times New Roman" w:hAnsi="Times New Roman"/>
                      <w:color w:val="000000"/>
                      <w:sz w:val="20"/>
                      <w:lang w:eastAsia="lt-LT"/>
                    </w:rPr>
                    <w:t xml:space="preserve">Investicinės veiklos pinigų srautai </w:t>
                  </w:r>
                </w:p>
              </w:tc>
              <w:tc>
                <w:tcPr>
                  <w:tcW w:w="1276" w:type="dxa"/>
                  <w:tcBorders>
                    <w:top w:val="nil"/>
                    <w:left w:val="nil"/>
                    <w:bottom w:val="single" w:sz="4" w:space="0" w:color="auto"/>
                    <w:right w:val="single" w:sz="4" w:space="0" w:color="auto"/>
                  </w:tcBorders>
                  <w:noWrap/>
                  <w:vAlign w:val="bottom"/>
                  <w:hideMark/>
                </w:tcPr>
                <w:p w14:paraId="1561671A" w14:textId="77777777" w:rsidR="00366C16" w:rsidRPr="00366C16" w:rsidRDefault="00366C16" w:rsidP="00366C16">
                  <w:pPr>
                    <w:spacing w:after="0" w:line="259" w:lineRule="auto"/>
                    <w:rPr>
                      <w:rFonts w:ascii="Times New Roman" w:hAnsi="Times New Roman"/>
                      <w:color w:val="000000"/>
                      <w:sz w:val="20"/>
                      <w:lang w:eastAsia="lt-LT"/>
                    </w:rPr>
                  </w:pPr>
                  <w:r w:rsidRPr="00366C16">
                    <w:rPr>
                      <w:rFonts w:ascii="Times New Roman" w:hAnsi="Times New Roman"/>
                      <w:color w:val="000000"/>
                      <w:sz w:val="20"/>
                      <w:lang w:eastAsia="lt-LT"/>
                    </w:rPr>
                    <w:t> </w:t>
                  </w:r>
                </w:p>
              </w:tc>
              <w:tc>
                <w:tcPr>
                  <w:tcW w:w="1134" w:type="dxa"/>
                  <w:tcBorders>
                    <w:top w:val="nil"/>
                    <w:left w:val="nil"/>
                    <w:bottom w:val="single" w:sz="4" w:space="0" w:color="auto"/>
                    <w:right w:val="single" w:sz="4" w:space="0" w:color="auto"/>
                  </w:tcBorders>
                  <w:noWrap/>
                  <w:vAlign w:val="bottom"/>
                  <w:hideMark/>
                </w:tcPr>
                <w:p w14:paraId="54BD1959" w14:textId="77777777" w:rsidR="00366C16" w:rsidRPr="00366C16" w:rsidRDefault="00366C16" w:rsidP="00366C16">
                  <w:pPr>
                    <w:spacing w:after="0" w:line="259" w:lineRule="auto"/>
                    <w:jc w:val="right"/>
                    <w:rPr>
                      <w:rFonts w:ascii="Times New Roman" w:hAnsi="Times New Roman"/>
                      <w:color w:val="000000"/>
                      <w:sz w:val="20"/>
                      <w:lang w:eastAsia="lt-LT"/>
                    </w:rPr>
                  </w:pPr>
                  <w:r w:rsidRPr="00366C16">
                    <w:rPr>
                      <w:rFonts w:ascii="Times New Roman" w:hAnsi="Times New Roman"/>
                      <w:color w:val="000000"/>
                      <w:sz w:val="20"/>
                      <w:lang w:eastAsia="lt-LT"/>
                    </w:rPr>
                    <w:t>350 000</w:t>
                  </w:r>
                </w:p>
              </w:tc>
              <w:tc>
                <w:tcPr>
                  <w:tcW w:w="1134" w:type="dxa"/>
                  <w:gridSpan w:val="2"/>
                  <w:tcBorders>
                    <w:top w:val="nil"/>
                    <w:left w:val="nil"/>
                    <w:bottom w:val="single" w:sz="4" w:space="0" w:color="auto"/>
                    <w:right w:val="single" w:sz="4" w:space="0" w:color="auto"/>
                  </w:tcBorders>
                  <w:noWrap/>
                  <w:vAlign w:val="bottom"/>
                  <w:hideMark/>
                </w:tcPr>
                <w:p w14:paraId="7582616B" w14:textId="77777777" w:rsidR="00366C16" w:rsidRPr="00366C16" w:rsidRDefault="00366C16" w:rsidP="00366C16">
                  <w:pPr>
                    <w:spacing w:after="0" w:line="259" w:lineRule="auto"/>
                    <w:jc w:val="right"/>
                    <w:rPr>
                      <w:rFonts w:ascii="Times New Roman" w:hAnsi="Times New Roman"/>
                      <w:color w:val="000000"/>
                      <w:sz w:val="20"/>
                      <w:lang w:eastAsia="lt-LT"/>
                    </w:rPr>
                  </w:pPr>
                  <w:r w:rsidRPr="00366C16">
                    <w:rPr>
                      <w:rFonts w:ascii="Times New Roman" w:hAnsi="Times New Roman"/>
                      <w:color w:val="000000"/>
                      <w:sz w:val="20"/>
                      <w:lang w:eastAsia="lt-LT"/>
                    </w:rPr>
                    <w:t>1 110 000</w:t>
                  </w:r>
                </w:p>
              </w:tc>
              <w:tc>
                <w:tcPr>
                  <w:tcW w:w="992" w:type="dxa"/>
                  <w:gridSpan w:val="2"/>
                  <w:tcBorders>
                    <w:top w:val="nil"/>
                    <w:left w:val="nil"/>
                    <w:bottom w:val="single" w:sz="4" w:space="0" w:color="auto"/>
                    <w:right w:val="single" w:sz="4" w:space="0" w:color="auto"/>
                  </w:tcBorders>
                  <w:noWrap/>
                  <w:vAlign w:val="bottom"/>
                  <w:hideMark/>
                </w:tcPr>
                <w:p w14:paraId="25E029E7" w14:textId="77777777" w:rsidR="00366C16" w:rsidRPr="00366C16" w:rsidRDefault="00366C16" w:rsidP="00366C16">
                  <w:pPr>
                    <w:spacing w:after="0" w:line="259" w:lineRule="auto"/>
                    <w:rPr>
                      <w:rFonts w:ascii="Times New Roman" w:hAnsi="Times New Roman"/>
                      <w:color w:val="000000"/>
                      <w:sz w:val="20"/>
                      <w:lang w:eastAsia="lt-LT"/>
                    </w:rPr>
                  </w:pPr>
                  <w:r w:rsidRPr="00366C16">
                    <w:rPr>
                      <w:rFonts w:ascii="Times New Roman" w:hAnsi="Times New Roman"/>
                      <w:color w:val="000000"/>
                      <w:sz w:val="20"/>
                      <w:lang w:eastAsia="lt-LT"/>
                    </w:rPr>
                    <w:t> </w:t>
                  </w:r>
                </w:p>
              </w:tc>
              <w:tc>
                <w:tcPr>
                  <w:tcW w:w="1134" w:type="dxa"/>
                  <w:gridSpan w:val="2"/>
                  <w:tcBorders>
                    <w:top w:val="nil"/>
                    <w:left w:val="nil"/>
                    <w:bottom w:val="single" w:sz="4" w:space="0" w:color="auto"/>
                    <w:right w:val="single" w:sz="4" w:space="0" w:color="auto"/>
                  </w:tcBorders>
                  <w:noWrap/>
                  <w:vAlign w:val="bottom"/>
                  <w:hideMark/>
                </w:tcPr>
                <w:p w14:paraId="23B44947" w14:textId="77777777" w:rsidR="00366C16" w:rsidRPr="00366C16" w:rsidRDefault="00366C16" w:rsidP="00366C16">
                  <w:pPr>
                    <w:spacing w:after="0" w:line="259" w:lineRule="auto"/>
                    <w:rPr>
                      <w:rFonts w:ascii="Times New Roman" w:hAnsi="Times New Roman"/>
                      <w:color w:val="000000"/>
                      <w:sz w:val="20"/>
                      <w:lang w:eastAsia="lt-LT"/>
                    </w:rPr>
                  </w:pPr>
                  <w:r w:rsidRPr="00366C16">
                    <w:rPr>
                      <w:rFonts w:ascii="Times New Roman" w:hAnsi="Times New Roman"/>
                      <w:color w:val="000000"/>
                      <w:sz w:val="20"/>
                      <w:lang w:eastAsia="lt-LT"/>
                    </w:rPr>
                    <w:t> </w:t>
                  </w:r>
                </w:p>
              </w:tc>
              <w:tc>
                <w:tcPr>
                  <w:tcW w:w="992" w:type="dxa"/>
                  <w:gridSpan w:val="2"/>
                  <w:tcBorders>
                    <w:top w:val="nil"/>
                    <w:left w:val="nil"/>
                    <w:bottom w:val="single" w:sz="4" w:space="0" w:color="auto"/>
                    <w:right w:val="single" w:sz="4" w:space="0" w:color="auto"/>
                  </w:tcBorders>
                  <w:noWrap/>
                  <w:vAlign w:val="bottom"/>
                  <w:hideMark/>
                </w:tcPr>
                <w:p w14:paraId="566BF1C6" w14:textId="77777777" w:rsidR="00366C16" w:rsidRPr="00366C16" w:rsidRDefault="00366C16" w:rsidP="00366C16">
                  <w:pPr>
                    <w:spacing w:after="0" w:line="259" w:lineRule="auto"/>
                    <w:rPr>
                      <w:rFonts w:ascii="Times New Roman" w:hAnsi="Times New Roman"/>
                      <w:color w:val="000000"/>
                      <w:sz w:val="20"/>
                      <w:lang w:eastAsia="lt-LT"/>
                    </w:rPr>
                  </w:pPr>
                  <w:r w:rsidRPr="00366C16">
                    <w:rPr>
                      <w:rFonts w:ascii="Times New Roman" w:hAnsi="Times New Roman"/>
                      <w:color w:val="000000"/>
                      <w:sz w:val="20"/>
                      <w:lang w:eastAsia="lt-LT"/>
                    </w:rPr>
                    <w:t> </w:t>
                  </w:r>
                </w:p>
              </w:tc>
              <w:tc>
                <w:tcPr>
                  <w:tcW w:w="992" w:type="dxa"/>
                  <w:gridSpan w:val="2"/>
                  <w:tcBorders>
                    <w:top w:val="nil"/>
                    <w:left w:val="nil"/>
                    <w:bottom w:val="single" w:sz="4" w:space="0" w:color="auto"/>
                    <w:right w:val="single" w:sz="4" w:space="0" w:color="auto"/>
                  </w:tcBorders>
                  <w:noWrap/>
                  <w:vAlign w:val="bottom"/>
                  <w:hideMark/>
                </w:tcPr>
                <w:p w14:paraId="06270FA0" w14:textId="77777777" w:rsidR="00366C16" w:rsidRPr="00366C16" w:rsidRDefault="00366C16" w:rsidP="00366C16">
                  <w:pPr>
                    <w:spacing w:after="0" w:line="259" w:lineRule="auto"/>
                    <w:rPr>
                      <w:rFonts w:ascii="Times New Roman" w:hAnsi="Times New Roman"/>
                      <w:color w:val="000000"/>
                      <w:sz w:val="20"/>
                      <w:lang w:eastAsia="lt-LT"/>
                    </w:rPr>
                  </w:pPr>
                  <w:r w:rsidRPr="00366C16">
                    <w:rPr>
                      <w:rFonts w:ascii="Times New Roman" w:hAnsi="Times New Roman"/>
                      <w:color w:val="000000"/>
                      <w:sz w:val="20"/>
                      <w:lang w:eastAsia="lt-LT"/>
                    </w:rPr>
                    <w:t> </w:t>
                  </w:r>
                </w:p>
              </w:tc>
            </w:tr>
            <w:tr w:rsidR="00366C16" w:rsidRPr="00366C16" w14:paraId="03066262" w14:textId="77777777" w:rsidTr="008768A3">
              <w:trPr>
                <w:trHeight w:val="300"/>
              </w:trPr>
              <w:tc>
                <w:tcPr>
                  <w:tcW w:w="2327" w:type="dxa"/>
                  <w:gridSpan w:val="4"/>
                  <w:tcBorders>
                    <w:top w:val="nil"/>
                    <w:left w:val="single" w:sz="4" w:space="0" w:color="auto"/>
                    <w:bottom w:val="single" w:sz="4" w:space="0" w:color="auto"/>
                    <w:right w:val="single" w:sz="4" w:space="0" w:color="auto"/>
                  </w:tcBorders>
                  <w:noWrap/>
                  <w:vAlign w:val="bottom"/>
                  <w:hideMark/>
                </w:tcPr>
                <w:p w14:paraId="45CB5B24" w14:textId="77777777" w:rsidR="00366C16" w:rsidRPr="00366C16" w:rsidRDefault="00366C16" w:rsidP="00366C16">
                  <w:pPr>
                    <w:spacing w:after="0" w:line="259" w:lineRule="auto"/>
                    <w:rPr>
                      <w:rFonts w:ascii="Times New Roman" w:hAnsi="Times New Roman"/>
                      <w:color w:val="000000"/>
                      <w:sz w:val="20"/>
                      <w:lang w:eastAsia="lt-LT"/>
                    </w:rPr>
                  </w:pPr>
                  <w:r w:rsidRPr="00366C16">
                    <w:rPr>
                      <w:rFonts w:ascii="Times New Roman" w:hAnsi="Times New Roman"/>
                      <w:color w:val="000000"/>
                      <w:sz w:val="20"/>
                      <w:lang w:eastAsia="lt-LT"/>
                    </w:rPr>
                    <w:t>Viso</w:t>
                  </w:r>
                </w:p>
              </w:tc>
              <w:tc>
                <w:tcPr>
                  <w:tcW w:w="1276" w:type="dxa"/>
                  <w:tcBorders>
                    <w:top w:val="nil"/>
                    <w:left w:val="nil"/>
                    <w:bottom w:val="single" w:sz="4" w:space="0" w:color="auto"/>
                    <w:right w:val="single" w:sz="4" w:space="0" w:color="auto"/>
                  </w:tcBorders>
                  <w:noWrap/>
                  <w:vAlign w:val="bottom"/>
                  <w:hideMark/>
                </w:tcPr>
                <w:p w14:paraId="257458EF" w14:textId="77777777" w:rsidR="00366C16" w:rsidRPr="00366C16" w:rsidRDefault="00366C16" w:rsidP="00366C16">
                  <w:pPr>
                    <w:spacing w:after="0" w:line="259" w:lineRule="auto"/>
                    <w:jc w:val="right"/>
                    <w:rPr>
                      <w:rFonts w:ascii="Times New Roman" w:hAnsi="Times New Roman"/>
                      <w:color w:val="000000"/>
                      <w:sz w:val="20"/>
                      <w:lang w:eastAsia="lt-LT"/>
                    </w:rPr>
                  </w:pPr>
                  <w:r w:rsidRPr="00366C16">
                    <w:rPr>
                      <w:rFonts w:ascii="Times New Roman" w:hAnsi="Times New Roman"/>
                      <w:color w:val="000000"/>
                      <w:sz w:val="20"/>
                      <w:lang w:eastAsia="lt-LT"/>
                    </w:rPr>
                    <w:t>-1 030</w:t>
                  </w:r>
                </w:p>
              </w:tc>
              <w:tc>
                <w:tcPr>
                  <w:tcW w:w="1134" w:type="dxa"/>
                  <w:tcBorders>
                    <w:top w:val="nil"/>
                    <w:left w:val="nil"/>
                    <w:bottom w:val="single" w:sz="4" w:space="0" w:color="auto"/>
                    <w:right w:val="single" w:sz="4" w:space="0" w:color="auto"/>
                  </w:tcBorders>
                  <w:noWrap/>
                  <w:vAlign w:val="bottom"/>
                  <w:hideMark/>
                </w:tcPr>
                <w:p w14:paraId="7B848F07" w14:textId="77777777" w:rsidR="00366C16" w:rsidRPr="00366C16" w:rsidRDefault="00366C16" w:rsidP="00366C16">
                  <w:pPr>
                    <w:spacing w:after="0" w:line="259" w:lineRule="auto"/>
                    <w:jc w:val="right"/>
                    <w:rPr>
                      <w:rFonts w:ascii="Times New Roman" w:hAnsi="Times New Roman"/>
                      <w:color w:val="000000"/>
                      <w:sz w:val="20"/>
                      <w:lang w:eastAsia="lt-LT"/>
                    </w:rPr>
                  </w:pPr>
                  <w:r w:rsidRPr="00366C16">
                    <w:rPr>
                      <w:rFonts w:ascii="Times New Roman" w:hAnsi="Times New Roman"/>
                      <w:color w:val="000000"/>
                      <w:sz w:val="20"/>
                      <w:lang w:eastAsia="lt-LT"/>
                    </w:rPr>
                    <w:t>-353 200</w:t>
                  </w:r>
                </w:p>
              </w:tc>
              <w:tc>
                <w:tcPr>
                  <w:tcW w:w="1134" w:type="dxa"/>
                  <w:gridSpan w:val="2"/>
                  <w:tcBorders>
                    <w:top w:val="nil"/>
                    <w:left w:val="nil"/>
                    <w:bottom w:val="single" w:sz="4" w:space="0" w:color="auto"/>
                    <w:right w:val="single" w:sz="4" w:space="0" w:color="auto"/>
                  </w:tcBorders>
                  <w:noWrap/>
                  <w:vAlign w:val="bottom"/>
                  <w:hideMark/>
                </w:tcPr>
                <w:p w14:paraId="27700751" w14:textId="77777777" w:rsidR="00366C16" w:rsidRPr="00366C16" w:rsidRDefault="00366C16" w:rsidP="00366C16">
                  <w:pPr>
                    <w:spacing w:after="0" w:line="259" w:lineRule="auto"/>
                    <w:jc w:val="right"/>
                    <w:rPr>
                      <w:rFonts w:ascii="Times New Roman" w:hAnsi="Times New Roman"/>
                      <w:color w:val="000000"/>
                      <w:sz w:val="20"/>
                      <w:lang w:eastAsia="lt-LT"/>
                    </w:rPr>
                  </w:pPr>
                  <w:r w:rsidRPr="00366C16">
                    <w:rPr>
                      <w:rFonts w:ascii="Times New Roman" w:hAnsi="Times New Roman"/>
                      <w:color w:val="000000"/>
                      <w:sz w:val="20"/>
                      <w:lang w:eastAsia="lt-LT"/>
                    </w:rPr>
                    <w:t>-1 268 640</w:t>
                  </w:r>
                </w:p>
              </w:tc>
              <w:tc>
                <w:tcPr>
                  <w:tcW w:w="992" w:type="dxa"/>
                  <w:gridSpan w:val="2"/>
                  <w:tcBorders>
                    <w:top w:val="nil"/>
                    <w:left w:val="nil"/>
                    <w:bottom w:val="single" w:sz="4" w:space="0" w:color="auto"/>
                    <w:right w:val="single" w:sz="4" w:space="0" w:color="auto"/>
                  </w:tcBorders>
                  <w:noWrap/>
                  <w:vAlign w:val="bottom"/>
                  <w:hideMark/>
                </w:tcPr>
                <w:p w14:paraId="0FD56700" w14:textId="77777777" w:rsidR="00366C16" w:rsidRPr="00366C16" w:rsidRDefault="00366C16" w:rsidP="00366C16">
                  <w:pPr>
                    <w:spacing w:after="0" w:line="259" w:lineRule="auto"/>
                    <w:jc w:val="right"/>
                    <w:rPr>
                      <w:rFonts w:ascii="Times New Roman" w:hAnsi="Times New Roman"/>
                      <w:color w:val="000000"/>
                      <w:sz w:val="20"/>
                      <w:lang w:eastAsia="lt-LT"/>
                    </w:rPr>
                  </w:pPr>
                  <w:r w:rsidRPr="00366C16">
                    <w:rPr>
                      <w:rFonts w:ascii="Times New Roman" w:hAnsi="Times New Roman"/>
                      <w:color w:val="000000"/>
                      <w:sz w:val="20"/>
                      <w:lang w:eastAsia="lt-LT"/>
                    </w:rPr>
                    <w:t>326 672</w:t>
                  </w:r>
                </w:p>
              </w:tc>
              <w:tc>
                <w:tcPr>
                  <w:tcW w:w="1134" w:type="dxa"/>
                  <w:gridSpan w:val="2"/>
                  <w:tcBorders>
                    <w:top w:val="nil"/>
                    <w:left w:val="nil"/>
                    <w:bottom w:val="single" w:sz="4" w:space="0" w:color="auto"/>
                    <w:right w:val="single" w:sz="4" w:space="0" w:color="auto"/>
                  </w:tcBorders>
                  <w:noWrap/>
                  <w:vAlign w:val="bottom"/>
                  <w:hideMark/>
                </w:tcPr>
                <w:p w14:paraId="08DD23CD" w14:textId="77777777" w:rsidR="00366C16" w:rsidRPr="00366C16" w:rsidRDefault="00366C16" w:rsidP="00366C16">
                  <w:pPr>
                    <w:spacing w:after="0" w:line="259" w:lineRule="auto"/>
                    <w:jc w:val="right"/>
                    <w:rPr>
                      <w:rFonts w:ascii="Times New Roman" w:hAnsi="Times New Roman"/>
                      <w:color w:val="000000"/>
                      <w:sz w:val="20"/>
                      <w:lang w:eastAsia="lt-LT"/>
                    </w:rPr>
                  </w:pPr>
                  <w:r w:rsidRPr="00366C16">
                    <w:rPr>
                      <w:rFonts w:ascii="Times New Roman" w:hAnsi="Times New Roman"/>
                      <w:color w:val="000000"/>
                      <w:sz w:val="20"/>
                      <w:lang w:eastAsia="lt-LT"/>
                    </w:rPr>
                    <w:t>611 560</w:t>
                  </w:r>
                </w:p>
              </w:tc>
              <w:tc>
                <w:tcPr>
                  <w:tcW w:w="992" w:type="dxa"/>
                  <w:gridSpan w:val="2"/>
                  <w:tcBorders>
                    <w:top w:val="nil"/>
                    <w:left w:val="nil"/>
                    <w:bottom w:val="single" w:sz="4" w:space="0" w:color="auto"/>
                    <w:right w:val="single" w:sz="4" w:space="0" w:color="auto"/>
                  </w:tcBorders>
                  <w:noWrap/>
                  <w:vAlign w:val="bottom"/>
                  <w:hideMark/>
                </w:tcPr>
                <w:p w14:paraId="26B316D0" w14:textId="77777777" w:rsidR="00366C16" w:rsidRPr="00366C16" w:rsidRDefault="00366C16" w:rsidP="00366C16">
                  <w:pPr>
                    <w:spacing w:after="0" w:line="259" w:lineRule="auto"/>
                    <w:jc w:val="right"/>
                    <w:rPr>
                      <w:rFonts w:ascii="Times New Roman" w:hAnsi="Times New Roman"/>
                      <w:color w:val="000000"/>
                      <w:sz w:val="20"/>
                      <w:lang w:eastAsia="lt-LT"/>
                    </w:rPr>
                  </w:pPr>
                  <w:r w:rsidRPr="00366C16">
                    <w:rPr>
                      <w:rFonts w:ascii="Times New Roman" w:hAnsi="Times New Roman"/>
                      <w:color w:val="000000"/>
                      <w:sz w:val="20"/>
                      <w:lang w:eastAsia="lt-LT"/>
                    </w:rPr>
                    <w:t>622 530</w:t>
                  </w:r>
                </w:p>
              </w:tc>
              <w:tc>
                <w:tcPr>
                  <w:tcW w:w="992" w:type="dxa"/>
                  <w:gridSpan w:val="2"/>
                  <w:tcBorders>
                    <w:top w:val="nil"/>
                    <w:left w:val="nil"/>
                    <w:bottom w:val="single" w:sz="4" w:space="0" w:color="auto"/>
                    <w:right w:val="single" w:sz="4" w:space="0" w:color="auto"/>
                  </w:tcBorders>
                  <w:noWrap/>
                  <w:vAlign w:val="bottom"/>
                  <w:hideMark/>
                </w:tcPr>
                <w:p w14:paraId="3F7EEAE6" w14:textId="77777777" w:rsidR="00366C16" w:rsidRPr="00366C16" w:rsidRDefault="00366C16" w:rsidP="00366C16">
                  <w:pPr>
                    <w:spacing w:after="0" w:line="259" w:lineRule="auto"/>
                    <w:jc w:val="right"/>
                    <w:rPr>
                      <w:rFonts w:ascii="Times New Roman" w:hAnsi="Times New Roman"/>
                      <w:color w:val="000000"/>
                      <w:sz w:val="20"/>
                      <w:lang w:eastAsia="lt-LT"/>
                    </w:rPr>
                  </w:pPr>
                  <w:r w:rsidRPr="00366C16">
                    <w:rPr>
                      <w:rFonts w:ascii="Times New Roman" w:hAnsi="Times New Roman"/>
                      <w:color w:val="000000"/>
                      <w:sz w:val="20"/>
                      <w:lang w:eastAsia="lt-LT"/>
                    </w:rPr>
                    <w:t>637 710</w:t>
                  </w:r>
                </w:p>
              </w:tc>
            </w:tr>
            <w:tr w:rsidR="00366C16" w:rsidRPr="00366C16" w14:paraId="16FCED97" w14:textId="77777777" w:rsidTr="008768A3">
              <w:trPr>
                <w:trHeight w:val="300"/>
              </w:trPr>
              <w:tc>
                <w:tcPr>
                  <w:tcW w:w="2327" w:type="dxa"/>
                  <w:gridSpan w:val="4"/>
                  <w:noWrap/>
                  <w:vAlign w:val="bottom"/>
                  <w:hideMark/>
                </w:tcPr>
                <w:p w14:paraId="26F90180" w14:textId="77777777" w:rsidR="00366C16" w:rsidRPr="00366C16" w:rsidRDefault="00366C16" w:rsidP="00366C16">
                  <w:pPr>
                    <w:spacing w:after="0" w:line="259" w:lineRule="auto"/>
                    <w:rPr>
                      <w:rFonts w:ascii="Times New Roman" w:hAnsi="Times New Roman"/>
                      <w:color w:val="000000"/>
                      <w:sz w:val="20"/>
                      <w:lang w:eastAsia="lt-LT"/>
                    </w:rPr>
                  </w:pPr>
                </w:p>
              </w:tc>
              <w:tc>
                <w:tcPr>
                  <w:tcW w:w="1276" w:type="dxa"/>
                  <w:noWrap/>
                  <w:vAlign w:val="bottom"/>
                  <w:hideMark/>
                </w:tcPr>
                <w:p w14:paraId="39BB524F" w14:textId="77777777" w:rsidR="00366C16" w:rsidRPr="00366C16" w:rsidRDefault="00366C16" w:rsidP="00366C16">
                  <w:pPr>
                    <w:spacing w:after="0" w:line="259" w:lineRule="auto"/>
                    <w:rPr>
                      <w:rFonts w:ascii="Times New Roman" w:hAnsi="Times New Roman"/>
                      <w:sz w:val="20"/>
                      <w:lang w:eastAsia="lt-LT"/>
                    </w:rPr>
                  </w:pPr>
                </w:p>
              </w:tc>
              <w:tc>
                <w:tcPr>
                  <w:tcW w:w="1134" w:type="dxa"/>
                  <w:noWrap/>
                  <w:vAlign w:val="bottom"/>
                  <w:hideMark/>
                </w:tcPr>
                <w:p w14:paraId="62518421" w14:textId="77777777" w:rsidR="00366C16" w:rsidRPr="00366C16" w:rsidRDefault="00366C16" w:rsidP="00366C16">
                  <w:pPr>
                    <w:spacing w:after="0" w:line="259" w:lineRule="auto"/>
                    <w:rPr>
                      <w:rFonts w:ascii="Times New Roman" w:hAnsi="Times New Roman"/>
                      <w:sz w:val="20"/>
                      <w:lang w:eastAsia="lt-LT"/>
                    </w:rPr>
                  </w:pPr>
                </w:p>
              </w:tc>
              <w:tc>
                <w:tcPr>
                  <w:tcW w:w="1134" w:type="dxa"/>
                  <w:gridSpan w:val="2"/>
                  <w:noWrap/>
                  <w:vAlign w:val="bottom"/>
                  <w:hideMark/>
                </w:tcPr>
                <w:p w14:paraId="6C46C140" w14:textId="77777777" w:rsidR="00366C16" w:rsidRPr="00366C16" w:rsidRDefault="00366C16" w:rsidP="00366C16">
                  <w:pPr>
                    <w:spacing w:after="0" w:line="259" w:lineRule="auto"/>
                    <w:rPr>
                      <w:rFonts w:ascii="Times New Roman" w:hAnsi="Times New Roman"/>
                      <w:sz w:val="20"/>
                      <w:lang w:eastAsia="lt-LT"/>
                    </w:rPr>
                  </w:pPr>
                </w:p>
              </w:tc>
              <w:tc>
                <w:tcPr>
                  <w:tcW w:w="992" w:type="dxa"/>
                  <w:gridSpan w:val="2"/>
                  <w:noWrap/>
                  <w:vAlign w:val="bottom"/>
                  <w:hideMark/>
                </w:tcPr>
                <w:p w14:paraId="7170973A" w14:textId="77777777" w:rsidR="00366C16" w:rsidRPr="00366C16" w:rsidRDefault="00366C16" w:rsidP="00366C16">
                  <w:pPr>
                    <w:spacing w:after="0" w:line="259" w:lineRule="auto"/>
                    <w:rPr>
                      <w:rFonts w:ascii="Times New Roman" w:hAnsi="Times New Roman"/>
                      <w:sz w:val="20"/>
                      <w:lang w:eastAsia="lt-LT"/>
                    </w:rPr>
                  </w:pPr>
                </w:p>
              </w:tc>
              <w:tc>
                <w:tcPr>
                  <w:tcW w:w="1134" w:type="dxa"/>
                  <w:gridSpan w:val="2"/>
                  <w:noWrap/>
                  <w:vAlign w:val="bottom"/>
                  <w:hideMark/>
                </w:tcPr>
                <w:p w14:paraId="07668A54" w14:textId="77777777" w:rsidR="00366C16" w:rsidRPr="00366C16" w:rsidRDefault="00366C16" w:rsidP="00366C16">
                  <w:pPr>
                    <w:spacing w:after="0" w:line="259" w:lineRule="auto"/>
                    <w:rPr>
                      <w:rFonts w:ascii="Times New Roman" w:hAnsi="Times New Roman"/>
                      <w:sz w:val="20"/>
                      <w:lang w:eastAsia="lt-LT"/>
                    </w:rPr>
                  </w:pPr>
                </w:p>
              </w:tc>
              <w:tc>
                <w:tcPr>
                  <w:tcW w:w="992" w:type="dxa"/>
                  <w:gridSpan w:val="2"/>
                  <w:noWrap/>
                  <w:vAlign w:val="bottom"/>
                  <w:hideMark/>
                </w:tcPr>
                <w:p w14:paraId="03D56E8B" w14:textId="77777777" w:rsidR="00366C16" w:rsidRPr="00366C16" w:rsidRDefault="00366C16" w:rsidP="00366C16">
                  <w:pPr>
                    <w:spacing w:after="0" w:line="259" w:lineRule="auto"/>
                    <w:rPr>
                      <w:rFonts w:ascii="Times New Roman" w:hAnsi="Times New Roman"/>
                      <w:sz w:val="20"/>
                      <w:lang w:eastAsia="lt-LT"/>
                    </w:rPr>
                  </w:pPr>
                </w:p>
              </w:tc>
              <w:tc>
                <w:tcPr>
                  <w:tcW w:w="992" w:type="dxa"/>
                  <w:gridSpan w:val="2"/>
                  <w:noWrap/>
                  <w:vAlign w:val="bottom"/>
                  <w:hideMark/>
                </w:tcPr>
                <w:p w14:paraId="2DFE7C8D" w14:textId="77777777" w:rsidR="00366C16" w:rsidRPr="00366C16" w:rsidRDefault="00366C16" w:rsidP="00366C16">
                  <w:pPr>
                    <w:spacing w:after="0" w:line="259" w:lineRule="auto"/>
                    <w:rPr>
                      <w:rFonts w:ascii="Times New Roman" w:hAnsi="Times New Roman"/>
                      <w:sz w:val="20"/>
                      <w:lang w:eastAsia="lt-LT"/>
                    </w:rPr>
                  </w:pPr>
                </w:p>
              </w:tc>
            </w:tr>
            <w:tr w:rsidR="00366C16" w:rsidRPr="00366C16" w14:paraId="58FD47F7" w14:textId="77777777" w:rsidTr="008768A3">
              <w:trPr>
                <w:gridAfter w:val="1"/>
                <w:wAfter w:w="499" w:type="dxa"/>
                <w:trHeight w:val="300"/>
              </w:trPr>
              <w:tc>
                <w:tcPr>
                  <w:tcW w:w="661" w:type="dxa"/>
                  <w:noWrap/>
                  <w:vAlign w:val="bottom"/>
                  <w:hideMark/>
                </w:tcPr>
                <w:p w14:paraId="00336E76" w14:textId="77777777" w:rsidR="00366C16" w:rsidRPr="00366C16" w:rsidRDefault="00366C16" w:rsidP="00366C16">
                  <w:pPr>
                    <w:spacing w:after="0" w:line="259" w:lineRule="auto"/>
                    <w:rPr>
                      <w:rFonts w:ascii="Times New Roman" w:hAnsi="Times New Roman"/>
                      <w:sz w:val="20"/>
                      <w:lang w:eastAsia="lt-LT"/>
                    </w:rPr>
                  </w:pPr>
                </w:p>
              </w:tc>
              <w:tc>
                <w:tcPr>
                  <w:tcW w:w="780" w:type="dxa"/>
                  <w:tcBorders>
                    <w:top w:val="single" w:sz="4" w:space="0" w:color="auto"/>
                    <w:left w:val="single" w:sz="4" w:space="0" w:color="auto"/>
                    <w:bottom w:val="single" w:sz="4" w:space="0" w:color="auto"/>
                    <w:right w:val="single" w:sz="4" w:space="0" w:color="auto"/>
                  </w:tcBorders>
                  <w:noWrap/>
                  <w:vAlign w:val="center"/>
                  <w:hideMark/>
                </w:tcPr>
                <w:p w14:paraId="5021459C" w14:textId="77777777" w:rsidR="00366C16" w:rsidRPr="00366C16" w:rsidRDefault="00366C16" w:rsidP="00366C16">
                  <w:pPr>
                    <w:spacing w:after="0" w:line="259" w:lineRule="auto"/>
                    <w:jc w:val="right"/>
                    <w:rPr>
                      <w:rFonts w:ascii="Times New Roman" w:hAnsi="Times New Roman"/>
                      <w:color w:val="000000"/>
                      <w:sz w:val="20"/>
                      <w:lang w:eastAsia="lt-LT"/>
                    </w:rPr>
                  </w:pPr>
                  <w:r w:rsidRPr="00366C16">
                    <w:rPr>
                      <w:rFonts w:ascii="Times New Roman" w:hAnsi="Times New Roman"/>
                      <w:color w:val="000000"/>
                      <w:sz w:val="20"/>
                      <w:lang w:eastAsia="lt-LT"/>
                    </w:rPr>
                    <w:t>LV0</w:t>
                  </w:r>
                </w:p>
              </w:tc>
              <w:tc>
                <w:tcPr>
                  <w:tcW w:w="780" w:type="dxa"/>
                  <w:tcBorders>
                    <w:top w:val="single" w:sz="4" w:space="0" w:color="auto"/>
                    <w:left w:val="nil"/>
                    <w:bottom w:val="single" w:sz="4" w:space="0" w:color="auto"/>
                    <w:right w:val="single" w:sz="4" w:space="0" w:color="auto"/>
                  </w:tcBorders>
                  <w:noWrap/>
                  <w:vAlign w:val="center"/>
                  <w:hideMark/>
                </w:tcPr>
                <w:p w14:paraId="277859FA" w14:textId="77777777" w:rsidR="00366C16" w:rsidRPr="00366C16" w:rsidRDefault="00366C16" w:rsidP="00366C16">
                  <w:pPr>
                    <w:spacing w:after="0" w:line="259" w:lineRule="auto"/>
                    <w:jc w:val="right"/>
                    <w:rPr>
                      <w:rFonts w:ascii="Times New Roman" w:hAnsi="Times New Roman"/>
                      <w:color w:val="000000"/>
                      <w:sz w:val="20"/>
                      <w:lang w:eastAsia="lt-LT"/>
                    </w:rPr>
                  </w:pPr>
                  <w:r w:rsidRPr="00366C16">
                    <w:rPr>
                      <w:rFonts w:ascii="Times New Roman" w:hAnsi="Times New Roman"/>
                      <w:color w:val="000000"/>
                      <w:sz w:val="20"/>
                      <w:lang w:eastAsia="lt-LT"/>
                    </w:rPr>
                    <w:t>PS1</w:t>
                  </w:r>
                </w:p>
              </w:tc>
              <w:tc>
                <w:tcPr>
                  <w:tcW w:w="1382" w:type="dxa"/>
                  <w:gridSpan w:val="2"/>
                  <w:tcBorders>
                    <w:top w:val="single" w:sz="4" w:space="0" w:color="auto"/>
                    <w:left w:val="nil"/>
                    <w:bottom w:val="single" w:sz="4" w:space="0" w:color="auto"/>
                    <w:right w:val="single" w:sz="4" w:space="0" w:color="auto"/>
                  </w:tcBorders>
                  <w:noWrap/>
                  <w:vAlign w:val="center"/>
                  <w:hideMark/>
                </w:tcPr>
                <w:p w14:paraId="4F2087B0" w14:textId="77777777" w:rsidR="00366C16" w:rsidRPr="00366C16" w:rsidRDefault="00366C16" w:rsidP="00366C16">
                  <w:pPr>
                    <w:spacing w:after="0" w:line="259" w:lineRule="auto"/>
                    <w:jc w:val="right"/>
                    <w:rPr>
                      <w:rFonts w:ascii="Times New Roman" w:hAnsi="Times New Roman"/>
                      <w:color w:val="000000"/>
                      <w:sz w:val="20"/>
                      <w:lang w:eastAsia="lt-LT"/>
                    </w:rPr>
                  </w:pPr>
                  <w:r w:rsidRPr="00366C16">
                    <w:rPr>
                      <w:rFonts w:ascii="Times New Roman" w:hAnsi="Times New Roman"/>
                      <w:color w:val="000000"/>
                      <w:sz w:val="20"/>
                      <w:lang w:eastAsia="lt-LT"/>
                    </w:rPr>
                    <w:t>PS2</w:t>
                  </w:r>
                </w:p>
              </w:tc>
              <w:tc>
                <w:tcPr>
                  <w:tcW w:w="1808" w:type="dxa"/>
                  <w:gridSpan w:val="2"/>
                  <w:tcBorders>
                    <w:top w:val="single" w:sz="4" w:space="0" w:color="auto"/>
                    <w:left w:val="nil"/>
                    <w:bottom w:val="single" w:sz="4" w:space="0" w:color="auto"/>
                    <w:right w:val="single" w:sz="4" w:space="0" w:color="auto"/>
                  </w:tcBorders>
                  <w:noWrap/>
                  <w:vAlign w:val="center"/>
                  <w:hideMark/>
                </w:tcPr>
                <w:p w14:paraId="2E0249CC" w14:textId="77777777" w:rsidR="00366C16" w:rsidRPr="00366C16" w:rsidRDefault="00366C16" w:rsidP="00366C16">
                  <w:pPr>
                    <w:spacing w:after="0" w:line="259" w:lineRule="auto"/>
                    <w:jc w:val="right"/>
                    <w:rPr>
                      <w:rFonts w:ascii="Times New Roman" w:hAnsi="Times New Roman"/>
                      <w:color w:val="000000"/>
                      <w:sz w:val="20"/>
                      <w:lang w:eastAsia="lt-LT"/>
                    </w:rPr>
                  </w:pPr>
                  <w:r w:rsidRPr="00366C16">
                    <w:rPr>
                      <w:rFonts w:ascii="Times New Roman" w:hAnsi="Times New Roman"/>
                      <w:color w:val="000000"/>
                      <w:sz w:val="20"/>
                      <w:lang w:eastAsia="lt-LT"/>
                    </w:rPr>
                    <w:t>PS3</w:t>
                  </w:r>
                </w:p>
              </w:tc>
              <w:tc>
                <w:tcPr>
                  <w:tcW w:w="1033" w:type="dxa"/>
                  <w:gridSpan w:val="2"/>
                  <w:tcBorders>
                    <w:top w:val="single" w:sz="4" w:space="0" w:color="auto"/>
                    <w:left w:val="nil"/>
                    <w:bottom w:val="single" w:sz="4" w:space="0" w:color="auto"/>
                    <w:right w:val="single" w:sz="4" w:space="0" w:color="auto"/>
                  </w:tcBorders>
                  <w:noWrap/>
                  <w:vAlign w:val="center"/>
                  <w:hideMark/>
                </w:tcPr>
                <w:p w14:paraId="28D5EF4D" w14:textId="77777777" w:rsidR="00366C16" w:rsidRPr="00366C16" w:rsidRDefault="00366C16" w:rsidP="00366C16">
                  <w:pPr>
                    <w:spacing w:after="0" w:line="259" w:lineRule="auto"/>
                    <w:jc w:val="right"/>
                    <w:rPr>
                      <w:rFonts w:ascii="Times New Roman" w:hAnsi="Times New Roman"/>
                      <w:color w:val="000000"/>
                      <w:sz w:val="20"/>
                      <w:lang w:eastAsia="lt-LT"/>
                    </w:rPr>
                  </w:pPr>
                  <w:r w:rsidRPr="00366C16">
                    <w:rPr>
                      <w:rFonts w:ascii="Times New Roman" w:hAnsi="Times New Roman"/>
                      <w:color w:val="000000"/>
                      <w:sz w:val="20"/>
                      <w:lang w:eastAsia="lt-LT"/>
                    </w:rPr>
                    <w:t>PS4</w:t>
                  </w:r>
                </w:p>
              </w:tc>
              <w:tc>
                <w:tcPr>
                  <w:tcW w:w="1028" w:type="dxa"/>
                  <w:gridSpan w:val="2"/>
                  <w:tcBorders>
                    <w:top w:val="single" w:sz="4" w:space="0" w:color="auto"/>
                    <w:left w:val="nil"/>
                    <w:bottom w:val="single" w:sz="4" w:space="0" w:color="auto"/>
                    <w:right w:val="single" w:sz="4" w:space="0" w:color="auto"/>
                  </w:tcBorders>
                  <w:noWrap/>
                  <w:vAlign w:val="center"/>
                  <w:hideMark/>
                </w:tcPr>
                <w:p w14:paraId="324A2ECC" w14:textId="77777777" w:rsidR="00366C16" w:rsidRPr="00366C16" w:rsidRDefault="00366C16" w:rsidP="00366C16">
                  <w:pPr>
                    <w:spacing w:after="0" w:line="259" w:lineRule="auto"/>
                    <w:jc w:val="right"/>
                    <w:rPr>
                      <w:rFonts w:ascii="Times New Roman" w:hAnsi="Times New Roman"/>
                      <w:color w:val="000000"/>
                      <w:sz w:val="20"/>
                      <w:lang w:eastAsia="lt-LT"/>
                    </w:rPr>
                  </w:pPr>
                  <w:r w:rsidRPr="00366C16">
                    <w:rPr>
                      <w:rFonts w:ascii="Times New Roman" w:hAnsi="Times New Roman"/>
                      <w:color w:val="000000"/>
                      <w:sz w:val="20"/>
                      <w:lang w:eastAsia="lt-LT"/>
                    </w:rPr>
                    <w:t>PS5</w:t>
                  </w:r>
                </w:p>
              </w:tc>
              <w:tc>
                <w:tcPr>
                  <w:tcW w:w="992" w:type="dxa"/>
                  <w:gridSpan w:val="2"/>
                  <w:tcBorders>
                    <w:top w:val="single" w:sz="4" w:space="0" w:color="auto"/>
                    <w:left w:val="nil"/>
                    <w:bottom w:val="single" w:sz="4" w:space="0" w:color="auto"/>
                    <w:right w:val="single" w:sz="4" w:space="0" w:color="auto"/>
                  </w:tcBorders>
                  <w:noWrap/>
                  <w:vAlign w:val="center"/>
                  <w:hideMark/>
                </w:tcPr>
                <w:p w14:paraId="62F20912" w14:textId="77777777" w:rsidR="00366C16" w:rsidRPr="00366C16" w:rsidRDefault="00366C16" w:rsidP="00366C16">
                  <w:pPr>
                    <w:spacing w:after="0" w:line="259" w:lineRule="auto"/>
                    <w:jc w:val="right"/>
                    <w:rPr>
                      <w:rFonts w:ascii="Times New Roman" w:hAnsi="Times New Roman"/>
                      <w:color w:val="000000"/>
                      <w:sz w:val="20"/>
                      <w:lang w:eastAsia="lt-LT"/>
                    </w:rPr>
                  </w:pPr>
                  <w:r w:rsidRPr="00366C16">
                    <w:rPr>
                      <w:rFonts w:ascii="Times New Roman" w:hAnsi="Times New Roman"/>
                      <w:color w:val="000000"/>
                      <w:sz w:val="20"/>
                      <w:lang w:eastAsia="lt-LT"/>
                    </w:rPr>
                    <w:t>PS6</w:t>
                  </w:r>
                </w:p>
              </w:tc>
              <w:tc>
                <w:tcPr>
                  <w:tcW w:w="1018" w:type="dxa"/>
                  <w:gridSpan w:val="2"/>
                  <w:tcBorders>
                    <w:top w:val="single" w:sz="4" w:space="0" w:color="auto"/>
                    <w:left w:val="nil"/>
                    <w:bottom w:val="single" w:sz="4" w:space="0" w:color="auto"/>
                    <w:right w:val="single" w:sz="4" w:space="0" w:color="auto"/>
                  </w:tcBorders>
                  <w:noWrap/>
                  <w:vAlign w:val="center"/>
                  <w:hideMark/>
                </w:tcPr>
                <w:p w14:paraId="7A52E3E2" w14:textId="77777777" w:rsidR="00366C16" w:rsidRPr="00366C16" w:rsidRDefault="00366C16" w:rsidP="00366C16">
                  <w:pPr>
                    <w:spacing w:after="0" w:line="259" w:lineRule="auto"/>
                    <w:jc w:val="right"/>
                    <w:rPr>
                      <w:rFonts w:ascii="Times New Roman" w:hAnsi="Times New Roman"/>
                      <w:color w:val="000000"/>
                      <w:sz w:val="20"/>
                      <w:lang w:eastAsia="lt-LT"/>
                    </w:rPr>
                  </w:pPr>
                  <w:r w:rsidRPr="00366C16">
                    <w:rPr>
                      <w:rFonts w:ascii="Times New Roman" w:hAnsi="Times New Roman"/>
                      <w:color w:val="000000"/>
                      <w:sz w:val="20"/>
                      <w:lang w:eastAsia="lt-LT"/>
                    </w:rPr>
                    <w:t>PS7+LV7</w:t>
                  </w:r>
                </w:p>
              </w:tc>
            </w:tr>
            <w:tr w:rsidR="00366C16" w:rsidRPr="00366C16" w14:paraId="1EFC3B37" w14:textId="77777777" w:rsidTr="008768A3">
              <w:trPr>
                <w:gridAfter w:val="1"/>
                <w:wAfter w:w="499" w:type="dxa"/>
                <w:trHeight w:val="300"/>
              </w:trPr>
              <w:tc>
                <w:tcPr>
                  <w:tcW w:w="661" w:type="dxa"/>
                  <w:noWrap/>
                  <w:vAlign w:val="center"/>
                  <w:hideMark/>
                </w:tcPr>
                <w:p w14:paraId="07BEBA1B" w14:textId="77777777" w:rsidR="00366C16" w:rsidRPr="00366C16" w:rsidRDefault="00366C16" w:rsidP="00366C16">
                  <w:pPr>
                    <w:spacing w:after="0" w:line="259" w:lineRule="auto"/>
                    <w:rPr>
                      <w:rFonts w:ascii="Times New Roman" w:hAnsi="Times New Roman"/>
                      <w:sz w:val="24"/>
                    </w:rPr>
                  </w:pPr>
                </w:p>
              </w:tc>
              <w:tc>
                <w:tcPr>
                  <w:tcW w:w="780" w:type="dxa"/>
                  <w:tcBorders>
                    <w:top w:val="nil"/>
                    <w:left w:val="single" w:sz="4" w:space="0" w:color="auto"/>
                    <w:bottom w:val="nil"/>
                    <w:right w:val="single" w:sz="4" w:space="0" w:color="auto"/>
                  </w:tcBorders>
                  <w:noWrap/>
                  <w:vAlign w:val="center"/>
                  <w:hideMark/>
                </w:tcPr>
                <w:p w14:paraId="3AF65C73" w14:textId="77777777" w:rsidR="00366C16" w:rsidRPr="00366C16" w:rsidRDefault="00366C16" w:rsidP="00366C16">
                  <w:pPr>
                    <w:spacing w:after="0" w:line="259" w:lineRule="auto"/>
                    <w:jc w:val="right"/>
                    <w:rPr>
                      <w:rFonts w:ascii="Times New Roman" w:hAnsi="Times New Roman"/>
                      <w:color w:val="000000"/>
                      <w:sz w:val="20"/>
                      <w:lang w:eastAsia="lt-LT"/>
                    </w:rPr>
                  </w:pPr>
                  <w:r w:rsidRPr="00366C16">
                    <w:rPr>
                      <w:rFonts w:ascii="Times New Roman" w:hAnsi="Times New Roman"/>
                      <w:color w:val="000000"/>
                      <w:sz w:val="20"/>
                      <w:lang w:eastAsia="lt-LT"/>
                    </w:rPr>
                    <w:t>0</w:t>
                  </w:r>
                </w:p>
              </w:tc>
              <w:tc>
                <w:tcPr>
                  <w:tcW w:w="780" w:type="dxa"/>
                  <w:tcBorders>
                    <w:top w:val="nil"/>
                    <w:left w:val="nil"/>
                    <w:bottom w:val="single" w:sz="4" w:space="0" w:color="auto"/>
                    <w:right w:val="single" w:sz="4" w:space="0" w:color="auto"/>
                  </w:tcBorders>
                  <w:noWrap/>
                  <w:vAlign w:val="center"/>
                  <w:hideMark/>
                </w:tcPr>
                <w:p w14:paraId="18457BED" w14:textId="77777777" w:rsidR="00366C16" w:rsidRPr="00366C16" w:rsidRDefault="00366C16" w:rsidP="00366C16">
                  <w:pPr>
                    <w:spacing w:after="0" w:line="259" w:lineRule="auto"/>
                    <w:jc w:val="right"/>
                    <w:rPr>
                      <w:rFonts w:ascii="Times New Roman" w:hAnsi="Times New Roman"/>
                      <w:color w:val="000000"/>
                      <w:sz w:val="20"/>
                      <w:lang w:eastAsia="lt-LT"/>
                    </w:rPr>
                  </w:pPr>
                  <w:r w:rsidRPr="00366C16">
                    <w:rPr>
                      <w:rFonts w:ascii="Times New Roman" w:hAnsi="Times New Roman"/>
                      <w:color w:val="000000"/>
                      <w:sz w:val="20"/>
                      <w:lang w:eastAsia="lt-LT"/>
                    </w:rPr>
                    <w:t>-1 030</w:t>
                  </w:r>
                </w:p>
              </w:tc>
              <w:tc>
                <w:tcPr>
                  <w:tcW w:w="1382" w:type="dxa"/>
                  <w:gridSpan w:val="2"/>
                  <w:tcBorders>
                    <w:top w:val="nil"/>
                    <w:left w:val="nil"/>
                    <w:bottom w:val="single" w:sz="4" w:space="0" w:color="auto"/>
                    <w:right w:val="single" w:sz="4" w:space="0" w:color="auto"/>
                  </w:tcBorders>
                  <w:noWrap/>
                  <w:vAlign w:val="center"/>
                  <w:hideMark/>
                </w:tcPr>
                <w:p w14:paraId="3CAFE5E6" w14:textId="77777777" w:rsidR="00366C16" w:rsidRPr="00366C16" w:rsidRDefault="00366C16" w:rsidP="00366C16">
                  <w:pPr>
                    <w:spacing w:after="0" w:line="259" w:lineRule="auto"/>
                    <w:jc w:val="right"/>
                    <w:rPr>
                      <w:rFonts w:ascii="Times New Roman" w:hAnsi="Times New Roman"/>
                      <w:color w:val="000000"/>
                      <w:sz w:val="20"/>
                      <w:lang w:eastAsia="lt-LT"/>
                    </w:rPr>
                  </w:pPr>
                  <w:r w:rsidRPr="00366C16">
                    <w:rPr>
                      <w:rFonts w:ascii="Times New Roman" w:hAnsi="Times New Roman"/>
                      <w:color w:val="000000"/>
                      <w:sz w:val="20"/>
                      <w:lang w:eastAsia="lt-LT"/>
                    </w:rPr>
                    <w:t>-353 200</w:t>
                  </w:r>
                </w:p>
              </w:tc>
              <w:tc>
                <w:tcPr>
                  <w:tcW w:w="1808" w:type="dxa"/>
                  <w:gridSpan w:val="2"/>
                  <w:tcBorders>
                    <w:top w:val="nil"/>
                    <w:left w:val="nil"/>
                    <w:bottom w:val="single" w:sz="4" w:space="0" w:color="auto"/>
                    <w:right w:val="single" w:sz="4" w:space="0" w:color="auto"/>
                  </w:tcBorders>
                  <w:noWrap/>
                  <w:vAlign w:val="center"/>
                  <w:hideMark/>
                </w:tcPr>
                <w:p w14:paraId="4313883D" w14:textId="77777777" w:rsidR="00366C16" w:rsidRPr="00366C16" w:rsidRDefault="00366C16" w:rsidP="00366C16">
                  <w:pPr>
                    <w:spacing w:after="0" w:line="259" w:lineRule="auto"/>
                    <w:jc w:val="right"/>
                    <w:rPr>
                      <w:rFonts w:ascii="Times New Roman" w:hAnsi="Times New Roman"/>
                      <w:color w:val="000000"/>
                      <w:sz w:val="20"/>
                      <w:lang w:eastAsia="lt-LT"/>
                    </w:rPr>
                  </w:pPr>
                  <w:r w:rsidRPr="00366C16">
                    <w:rPr>
                      <w:rFonts w:ascii="Times New Roman" w:hAnsi="Times New Roman"/>
                      <w:color w:val="000000"/>
                      <w:sz w:val="20"/>
                      <w:lang w:eastAsia="lt-LT"/>
                    </w:rPr>
                    <w:t>-1 268 640</w:t>
                  </w:r>
                </w:p>
              </w:tc>
              <w:tc>
                <w:tcPr>
                  <w:tcW w:w="1033" w:type="dxa"/>
                  <w:gridSpan w:val="2"/>
                  <w:tcBorders>
                    <w:top w:val="nil"/>
                    <w:left w:val="nil"/>
                    <w:bottom w:val="single" w:sz="4" w:space="0" w:color="auto"/>
                    <w:right w:val="single" w:sz="4" w:space="0" w:color="auto"/>
                  </w:tcBorders>
                  <w:noWrap/>
                  <w:vAlign w:val="center"/>
                  <w:hideMark/>
                </w:tcPr>
                <w:p w14:paraId="5F5E6446" w14:textId="77777777" w:rsidR="00366C16" w:rsidRPr="00366C16" w:rsidRDefault="00366C16" w:rsidP="00366C16">
                  <w:pPr>
                    <w:spacing w:after="0" w:line="259" w:lineRule="auto"/>
                    <w:jc w:val="right"/>
                    <w:rPr>
                      <w:rFonts w:ascii="Times New Roman" w:hAnsi="Times New Roman"/>
                      <w:color w:val="000000"/>
                      <w:sz w:val="20"/>
                      <w:lang w:eastAsia="lt-LT"/>
                    </w:rPr>
                  </w:pPr>
                  <w:r w:rsidRPr="00366C16">
                    <w:rPr>
                      <w:rFonts w:ascii="Times New Roman" w:hAnsi="Times New Roman"/>
                      <w:color w:val="000000"/>
                      <w:sz w:val="20"/>
                      <w:lang w:eastAsia="lt-LT"/>
                    </w:rPr>
                    <w:t>326 672</w:t>
                  </w:r>
                </w:p>
              </w:tc>
              <w:tc>
                <w:tcPr>
                  <w:tcW w:w="1028" w:type="dxa"/>
                  <w:gridSpan w:val="2"/>
                  <w:tcBorders>
                    <w:top w:val="nil"/>
                    <w:left w:val="nil"/>
                    <w:bottom w:val="single" w:sz="4" w:space="0" w:color="auto"/>
                    <w:right w:val="single" w:sz="4" w:space="0" w:color="auto"/>
                  </w:tcBorders>
                  <w:noWrap/>
                  <w:vAlign w:val="center"/>
                  <w:hideMark/>
                </w:tcPr>
                <w:p w14:paraId="4339C2A5" w14:textId="77777777" w:rsidR="00366C16" w:rsidRPr="00366C16" w:rsidRDefault="00366C16" w:rsidP="00366C16">
                  <w:pPr>
                    <w:spacing w:after="0" w:line="259" w:lineRule="auto"/>
                    <w:jc w:val="right"/>
                    <w:rPr>
                      <w:rFonts w:ascii="Times New Roman" w:hAnsi="Times New Roman"/>
                      <w:color w:val="000000"/>
                      <w:sz w:val="20"/>
                      <w:lang w:eastAsia="lt-LT"/>
                    </w:rPr>
                  </w:pPr>
                  <w:r w:rsidRPr="00366C16">
                    <w:rPr>
                      <w:rFonts w:ascii="Times New Roman" w:hAnsi="Times New Roman"/>
                      <w:color w:val="000000"/>
                      <w:sz w:val="20"/>
                      <w:lang w:eastAsia="lt-LT"/>
                    </w:rPr>
                    <w:t>611 560</w:t>
                  </w:r>
                </w:p>
              </w:tc>
              <w:tc>
                <w:tcPr>
                  <w:tcW w:w="992" w:type="dxa"/>
                  <w:gridSpan w:val="2"/>
                  <w:tcBorders>
                    <w:top w:val="nil"/>
                    <w:left w:val="nil"/>
                    <w:bottom w:val="single" w:sz="4" w:space="0" w:color="auto"/>
                    <w:right w:val="single" w:sz="4" w:space="0" w:color="auto"/>
                  </w:tcBorders>
                  <w:noWrap/>
                  <w:vAlign w:val="center"/>
                  <w:hideMark/>
                </w:tcPr>
                <w:p w14:paraId="19ED1F64" w14:textId="77777777" w:rsidR="00366C16" w:rsidRPr="00366C16" w:rsidRDefault="00366C16" w:rsidP="00366C16">
                  <w:pPr>
                    <w:spacing w:after="0" w:line="259" w:lineRule="auto"/>
                    <w:jc w:val="right"/>
                    <w:rPr>
                      <w:rFonts w:ascii="Times New Roman" w:hAnsi="Times New Roman"/>
                      <w:color w:val="000000"/>
                      <w:sz w:val="20"/>
                      <w:lang w:eastAsia="lt-LT"/>
                    </w:rPr>
                  </w:pPr>
                  <w:r w:rsidRPr="00366C16">
                    <w:rPr>
                      <w:rFonts w:ascii="Times New Roman" w:hAnsi="Times New Roman"/>
                      <w:color w:val="000000"/>
                      <w:sz w:val="20"/>
                      <w:lang w:eastAsia="lt-LT"/>
                    </w:rPr>
                    <w:t>622 530</w:t>
                  </w:r>
                </w:p>
              </w:tc>
              <w:tc>
                <w:tcPr>
                  <w:tcW w:w="1018" w:type="dxa"/>
                  <w:gridSpan w:val="2"/>
                  <w:tcBorders>
                    <w:top w:val="nil"/>
                    <w:left w:val="nil"/>
                    <w:bottom w:val="single" w:sz="4" w:space="0" w:color="auto"/>
                    <w:right w:val="single" w:sz="4" w:space="0" w:color="auto"/>
                  </w:tcBorders>
                  <w:noWrap/>
                  <w:vAlign w:val="center"/>
                  <w:hideMark/>
                </w:tcPr>
                <w:p w14:paraId="38DA04F0" w14:textId="77777777" w:rsidR="00366C16" w:rsidRPr="00366C16" w:rsidRDefault="00366C16" w:rsidP="00366C16">
                  <w:pPr>
                    <w:spacing w:after="0" w:line="259" w:lineRule="auto"/>
                    <w:jc w:val="right"/>
                    <w:rPr>
                      <w:rFonts w:ascii="Times New Roman" w:hAnsi="Times New Roman"/>
                      <w:color w:val="000000"/>
                      <w:sz w:val="20"/>
                      <w:lang w:eastAsia="lt-LT"/>
                    </w:rPr>
                  </w:pPr>
                  <w:r w:rsidRPr="00366C16">
                    <w:rPr>
                      <w:rFonts w:ascii="Times New Roman" w:hAnsi="Times New Roman"/>
                      <w:color w:val="000000"/>
                      <w:sz w:val="20"/>
                      <w:lang w:eastAsia="lt-LT"/>
                    </w:rPr>
                    <w:t>160 546</w:t>
                  </w:r>
                </w:p>
              </w:tc>
            </w:tr>
            <w:tr w:rsidR="00366C16" w:rsidRPr="00366C16" w14:paraId="7C21140C" w14:textId="77777777" w:rsidTr="008768A3">
              <w:trPr>
                <w:gridAfter w:val="1"/>
                <w:wAfter w:w="499" w:type="dxa"/>
                <w:trHeight w:val="300"/>
              </w:trPr>
              <w:tc>
                <w:tcPr>
                  <w:tcW w:w="661" w:type="dxa"/>
                  <w:tcBorders>
                    <w:top w:val="single" w:sz="4" w:space="0" w:color="auto"/>
                    <w:left w:val="single" w:sz="4" w:space="0" w:color="auto"/>
                    <w:bottom w:val="single" w:sz="4" w:space="0" w:color="auto"/>
                    <w:right w:val="single" w:sz="4" w:space="0" w:color="auto"/>
                  </w:tcBorders>
                  <w:noWrap/>
                  <w:vAlign w:val="center"/>
                  <w:hideMark/>
                </w:tcPr>
                <w:p w14:paraId="4D786028" w14:textId="77777777" w:rsidR="00366C16" w:rsidRPr="00366C16" w:rsidRDefault="00366C16" w:rsidP="00366C16">
                  <w:pPr>
                    <w:spacing w:after="0" w:line="259" w:lineRule="auto"/>
                    <w:rPr>
                      <w:rFonts w:ascii="Times New Roman" w:hAnsi="Times New Roman"/>
                      <w:b/>
                      <w:bCs/>
                      <w:color w:val="000000"/>
                      <w:sz w:val="20"/>
                      <w:lang w:eastAsia="lt-LT"/>
                    </w:rPr>
                  </w:pPr>
                  <w:r w:rsidRPr="00366C16">
                    <w:rPr>
                      <w:rFonts w:ascii="Times New Roman" w:hAnsi="Times New Roman"/>
                      <w:b/>
                      <w:bCs/>
                      <w:color w:val="000000"/>
                      <w:sz w:val="20"/>
                      <w:lang w:eastAsia="lt-LT"/>
                    </w:rPr>
                    <w:t>VGN</w:t>
                  </w:r>
                </w:p>
              </w:tc>
              <w:tc>
                <w:tcPr>
                  <w:tcW w:w="780" w:type="dxa"/>
                  <w:tcBorders>
                    <w:top w:val="single" w:sz="4" w:space="0" w:color="auto"/>
                    <w:left w:val="nil"/>
                    <w:bottom w:val="single" w:sz="4" w:space="0" w:color="auto"/>
                    <w:right w:val="single" w:sz="4" w:space="0" w:color="auto"/>
                  </w:tcBorders>
                  <w:noWrap/>
                  <w:vAlign w:val="center"/>
                  <w:hideMark/>
                </w:tcPr>
                <w:p w14:paraId="1E0DBAB2" w14:textId="77777777" w:rsidR="00366C16" w:rsidRPr="00366C16" w:rsidRDefault="00366C16" w:rsidP="00366C16">
                  <w:pPr>
                    <w:spacing w:after="0" w:line="259" w:lineRule="auto"/>
                    <w:jc w:val="right"/>
                    <w:rPr>
                      <w:rFonts w:ascii="Times New Roman" w:hAnsi="Times New Roman"/>
                      <w:b/>
                      <w:bCs/>
                      <w:color w:val="000000"/>
                      <w:sz w:val="20"/>
                      <w:lang w:eastAsia="lt-LT"/>
                    </w:rPr>
                  </w:pPr>
                  <w:r w:rsidRPr="00366C16">
                    <w:rPr>
                      <w:rFonts w:ascii="Times New Roman" w:hAnsi="Times New Roman"/>
                      <w:b/>
                      <w:bCs/>
                      <w:color w:val="000000"/>
                      <w:sz w:val="20"/>
                      <w:lang w:eastAsia="lt-LT"/>
                    </w:rPr>
                    <w:t>2,32%</w:t>
                  </w:r>
                </w:p>
              </w:tc>
              <w:tc>
                <w:tcPr>
                  <w:tcW w:w="780" w:type="dxa"/>
                  <w:noWrap/>
                  <w:vAlign w:val="bottom"/>
                  <w:hideMark/>
                </w:tcPr>
                <w:p w14:paraId="0FC0022D" w14:textId="77777777" w:rsidR="00366C16" w:rsidRPr="00366C16" w:rsidRDefault="00366C16" w:rsidP="00366C16">
                  <w:pPr>
                    <w:spacing w:after="0" w:line="259" w:lineRule="auto"/>
                    <w:rPr>
                      <w:rFonts w:ascii="Times New Roman" w:hAnsi="Times New Roman"/>
                      <w:b/>
                      <w:bCs/>
                      <w:color w:val="000000"/>
                      <w:sz w:val="20"/>
                      <w:lang w:eastAsia="lt-LT"/>
                    </w:rPr>
                  </w:pPr>
                </w:p>
              </w:tc>
              <w:tc>
                <w:tcPr>
                  <w:tcW w:w="1382" w:type="dxa"/>
                  <w:gridSpan w:val="2"/>
                  <w:noWrap/>
                  <w:vAlign w:val="bottom"/>
                  <w:hideMark/>
                </w:tcPr>
                <w:p w14:paraId="54204513" w14:textId="77777777" w:rsidR="00366C16" w:rsidRPr="00366C16" w:rsidRDefault="00366C16" w:rsidP="00366C16">
                  <w:pPr>
                    <w:spacing w:after="0" w:line="259" w:lineRule="auto"/>
                    <w:rPr>
                      <w:rFonts w:ascii="Times New Roman" w:hAnsi="Times New Roman"/>
                      <w:sz w:val="20"/>
                      <w:lang w:eastAsia="lt-LT"/>
                    </w:rPr>
                  </w:pPr>
                </w:p>
              </w:tc>
              <w:tc>
                <w:tcPr>
                  <w:tcW w:w="1808" w:type="dxa"/>
                  <w:gridSpan w:val="2"/>
                  <w:noWrap/>
                  <w:vAlign w:val="bottom"/>
                  <w:hideMark/>
                </w:tcPr>
                <w:p w14:paraId="7506C3BD" w14:textId="77777777" w:rsidR="00366C16" w:rsidRPr="00366C16" w:rsidRDefault="00366C16" w:rsidP="00366C16">
                  <w:pPr>
                    <w:spacing w:after="0" w:line="259" w:lineRule="auto"/>
                    <w:rPr>
                      <w:rFonts w:ascii="Times New Roman" w:hAnsi="Times New Roman"/>
                      <w:sz w:val="20"/>
                      <w:lang w:eastAsia="lt-LT"/>
                    </w:rPr>
                  </w:pPr>
                </w:p>
              </w:tc>
              <w:tc>
                <w:tcPr>
                  <w:tcW w:w="1033" w:type="dxa"/>
                  <w:gridSpan w:val="2"/>
                  <w:noWrap/>
                  <w:vAlign w:val="bottom"/>
                  <w:hideMark/>
                </w:tcPr>
                <w:p w14:paraId="1F9021B3" w14:textId="77777777" w:rsidR="00366C16" w:rsidRPr="00366C16" w:rsidRDefault="00366C16" w:rsidP="00366C16">
                  <w:pPr>
                    <w:spacing w:after="0" w:line="259" w:lineRule="auto"/>
                    <w:rPr>
                      <w:rFonts w:ascii="Times New Roman" w:hAnsi="Times New Roman"/>
                      <w:sz w:val="20"/>
                      <w:lang w:eastAsia="lt-LT"/>
                    </w:rPr>
                  </w:pPr>
                </w:p>
              </w:tc>
              <w:tc>
                <w:tcPr>
                  <w:tcW w:w="1028" w:type="dxa"/>
                  <w:gridSpan w:val="2"/>
                  <w:noWrap/>
                  <w:vAlign w:val="bottom"/>
                  <w:hideMark/>
                </w:tcPr>
                <w:p w14:paraId="77698333" w14:textId="77777777" w:rsidR="00366C16" w:rsidRPr="00366C16" w:rsidRDefault="00366C16" w:rsidP="00366C16">
                  <w:pPr>
                    <w:spacing w:after="0" w:line="259" w:lineRule="auto"/>
                    <w:rPr>
                      <w:rFonts w:ascii="Times New Roman" w:hAnsi="Times New Roman"/>
                      <w:sz w:val="20"/>
                      <w:lang w:eastAsia="lt-LT"/>
                    </w:rPr>
                  </w:pPr>
                </w:p>
              </w:tc>
              <w:tc>
                <w:tcPr>
                  <w:tcW w:w="992" w:type="dxa"/>
                  <w:gridSpan w:val="2"/>
                  <w:noWrap/>
                  <w:vAlign w:val="bottom"/>
                  <w:hideMark/>
                </w:tcPr>
                <w:p w14:paraId="25DB3E0E" w14:textId="77777777" w:rsidR="00366C16" w:rsidRPr="00366C16" w:rsidRDefault="00366C16" w:rsidP="00366C16">
                  <w:pPr>
                    <w:spacing w:after="0" w:line="259" w:lineRule="auto"/>
                    <w:rPr>
                      <w:rFonts w:ascii="Times New Roman" w:hAnsi="Times New Roman"/>
                      <w:sz w:val="20"/>
                      <w:lang w:eastAsia="lt-LT"/>
                    </w:rPr>
                  </w:pPr>
                </w:p>
              </w:tc>
              <w:tc>
                <w:tcPr>
                  <w:tcW w:w="1018" w:type="dxa"/>
                  <w:gridSpan w:val="2"/>
                  <w:noWrap/>
                  <w:vAlign w:val="bottom"/>
                  <w:hideMark/>
                </w:tcPr>
                <w:p w14:paraId="66E862BE" w14:textId="77777777" w:rsidR="00366C16" w:rsidRPr="00366C16" w:rsidRDefault="00366C16" w:rsidP="00366C16">
                  <w:pPr>
                    <w:spacing w:after="0" w:line="259" w:lineRule="auto"/>
                    <w:rPr>
                      <w:rFonts w:ascii="Times New Roman" w:hAnsi="Times New Roman"/>
                      <w:sz w:val="20"/>
                      <w:lang w:eastAsia="lt-LT"/>
                    </w:rPr>
                  </w:pPr>
                </w:p>
              </w:tc>
            </w:tr>
          </w:tbl>
          <w:p w14:paraId="1C0B0852" w14:textId="77777777" w:rsidR="00366C16" w:rsidRPr="00366C16" w:rsidRDefault="00366C16" w:rsidP="00366C16">
            <w:pPr>
              <w:spacing w:after="0" w:line="240" w:lineRule="auto"/>
              <w:jc w:val="both"/>
              <w:rPr>
                <w:rFonts w:ascii="Times New Roman" w:hAnsi="Times New Roman"/>
                <w:bCs/>
                <w:sz w:val="23"/>
                <w:szCs w:val="23"/>
              </w:rPr>
            </w:pPr>
          </w:p>
          <w:p w14:paraId="6E4B0448" w14:textId="77777777" w:rsidR="00366C16" w:rsidRPr="00366C16" w:rsidRDefault="00366C16" w:rsidP="00366C16">
            <w:pPr>
              <w:spacing w:after="0" w:line="240" w:lineRule="auto"/>
              <w:jc w:val="both"/>
              <w:rPr>
                <w:rFonts w:ascii="Times New Roman" w:hAnsi="Times New Roman"/>
                <w:color w:val="000000"/>
                <w:sz w:val="23"/>
                <w:szCs w:val="23"/>
              </w:rPr>
            </w:pPr>
            <w:r w:rsidRPr="00366C16">
              <w:rPr>
                <w:rFonts w:ascii="Times New Roman" w:hAnsi="Times New Roman"/>
                <w:bCs/>
                <w:sz w:val="23"/>
                <w:szCs w:val="23"/>
              </w:rPr>
              <w:t>Taigi, atsižvelgiant į tai, jog Pareiškėjos Paraiška neatitinka Ekonominio gyvybingumo taisyklių III skyriuje nustatytos reikšmės (</w:t>
            </w:r>
            <w:r w:rsidRPr="00366C16">
              <w:rPr>
                <w:rFonts w:ascii="Times New Roman" w:hAnsi="Times New Roman"/>
                <w:color w:val="000000"/>
                <w:sz w:val="23"/>
                <w:szCs w:val="23"/>
              </w:rPr>
              <w:t>≥ 4,4 proc.), todėl ji neatitinka Taisyklių 26 punkte nustatyto tinkamumo kriterijaus.</w:t>
            </w:r>
          </w:p>
          <w:p w14:paraId="079CE054" w14:textId="77777777" w:rsidR="003D2715" w:rsidRPr="00366C16" w:rsidRDefault="003D2715" w:rsidP="00BC4470">
            <w:pPr>
              <w:spacing w:after="0"/>
              <w:ind w:firstLine="425"/>
              <w:jc w:val="both"/>
              <w:rPr>
                <w:rFonts w:ascii="Times New Roman" w:hAnsi="Times New Roman"/>
                <w:bCs/>
              </w:rPr>
            </w:pPr>
          </w:p>
        </w:tc>
      </w:tr>
      <w:tr w:rsidR="003D2715" w:rsidRPr="00366C16" w14:paraId="31C0E6CC" w14:textId="77777777" w:rsidTr="00F608D4">
        <w:trPr>
          <w:trHeight w:val="524"/>
        </w:trPr>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9C4284" w14:textId="55381277" w:rsidR="003D2715" w:rsidRPr="00366C16" w:rsidRDefault="003D2715" w:rsidP="00F608D4">
            <w:pPr>
              <w:spacing w:after="0" w:line="240" w:lineRule="auto"/>
              <w:rPr>
                <w:rFonts w:ascii="Times New Roman" w:eastAsia="Times New Roman" w:hAnsi="Times New Roman"/>
                <w:lang w:eastAsia="lt-LT"/>
              </w:rPr>
            </w:pPr>
            <w:r w:rsidRPr="00366C16">
              <w:rPr>
                <w:rFonts w:ascii="Times New Roman" w:eastAsia="Times New Roman" w:hAnsi="Times New Roman"/>
                <w:lang w:eastAsia="lt-LT"/>
              </w:rPr>
              <w:lastRenderedPageBreak/>
              <w:t xml:space="preserve">3. </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5B08802" w14:textId="082BF6E4" w:rsidR="003D2715" w:rsidRPr="00366C16" w:rsidRDefault="003D2715" w:rsidP="00BC4470">
            <w:pPr>
              <w:spacing w:after="0" w:line="240" w:lineRule="auto"/>
              <w:rPr>
                <w:rFonts w:ascii="Times New Roman" w:hAnsi="Times New Roman"/>
              </w:rPr>
            </w:pPr>
            <w:r w:rsidRPr="00366C16">
              <w:rPr>
                <w:rFonts w:ascii="Times New Roman" w:hAnsi="Times New Roman"/>
              </w:rPr>
              <w:t>48IA-KS-17-1-01840-PR001</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5EAE90" w14:textId="5EB556D0" w:rsidR="003D2715" w:rsidRPr="00366C16" w:rsidRDefault="003D2715" w:rsidP="00F608D4">
            <w:pPr>
              <w:spacing w:after="0"/>
              <w:rPr>
                <w:rFonts w:ascii="Times New Roman" w:hAnsi="Times New Roman"/>
                <w:bCs/>
              </w:rPr>
            </w:pPr>
            <w:r w:rsidRPr="00366C16">
              <w:rPr>
                <w:rFonts w:ascii="Times New Roman" w:hAnsi="Times New Roman"/>
              </w:rPr>
              <w:t>UAB “Linkuvos lagūnos”</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B5B8B47" w14:textId="7F1F6C19" w:rsidR="003D2715" w:rsidRPr="00366C16" w:rsidRDefault="00366C16" w:rsidP="00F608D4">
            <w:pPr>
              <w:spacing w:after="0" w:line="240" w:lineRule="auto"/>
              <w:jc w:val="center"/>
              <w:rPr>
                <w:rFonts w:ascii="Times New Roman" w:hAnsi="Times New Roman"/>
              </w:rPr>
            </w:pPr>
            <w:r w:rsidRPr="00366C16">
              <w:rPr>
                <w:rFonts w:ascii="Times New Roman" w:eastAsia="Times New Roman" w:hAnsi="Times New Roman"/>
                <w:sz w:val="23"/>
                <w:szCs w:val="23"/>
                <w:lang w:eastAsia="lt-LT"/>
              </w:rPr>
              <w:t>391 406</w:t>
            </w:r>
          </w:p>
        </w:tc>
        <w:tc>
          <w:tcPr>
            <w:tcW w:w="10324" w:type="dxa"/>
            <w:tcBorders>
              <w:top w:val="single" w:sz="8" w:space="0" w:color="auto"/>
              <w:left w:val="nil"/>
              <w:bottom w:val="single" w:sz="8" w:space="0" w:color="auto"/>
              <w:right w:val="single" w:sz="8" w:space="0" w:color="auto"/>
            </w:tcBorders>
          </w:tcPr>
          <w:p w14:paraId="49BD26B6" w14:textId="77777777" w:rsidR="00366C16" w:rsidRPr="00366C16" w:rsidRDefault="00366C16" w:rsidP="00366C16">
            <w:pPr>
              <w:spacing w:after="0" w:line="240" w:lineRule="auto"/>
              <w:jc w:val="both"/>
              <w:rPr>
                <w:rFonts w:ascii="Times New Roman" w:hAnsi="Times New Roman"/>
                <w:sz w:val="23"/>
                <w:szCs w:val="23"/>
              </w:rPr>
            </w:pPr>
            <w:r w:rsidRPr="00366C16">
              <w:rPr>
                <w:rFonts w:ascii="Times New Roman" w:hAnsi="Times New Roman"/>
                <w:sz w:val="23"/>
                <w:szCs w:val="23"/>
              </w:rPr>
              <w:t xml:space="preserve">      UAB „Linkuvos lagūnos” (toliau – Pareiškėja) projektas „UAB „Linkuvos lagūnos” priklausančių tvenkinių sutvarkymas ir jų pritaikymas žuvininkystei” (toliau – Projektas), (paraiška pateikta 2017 m. liepos 21 d., registracijos Nr. 48IA-KS-17-1-01840-PR001 (toliau – Paraiška)) yra netinkamas gauti ES paramą, nes neatitinka </w:t>
            </w:r>
            <w:r w:rsidRPr="00366C16">
              <w:rPr>
                <w:rFonts w:ascii="Times New Roman" w:hAnsi="Times New Roman"/>
                <w:color w:val="000000"/>
                <w:sz w:val="23"/>
                <w:szCs w:val="23"/>
              </w:rPr>
              <w:t xml:space="preserve">Lietuvos žuvininkystės sektoriaus 2014–2020 metų veiksmų programos antrojo </w:t>
            </w:r>
            <w:r w:rsidRPr="00366C16">
              <w:rPr>
                <w:rFonts w:ascii="Times New Roman" w:hAnsi="Times New Roman"/>
                <w:sz w:val="23"/>
                <w:szCs w:val="23"/>
              </w:rPr>
              <w:t xml:space="preserve">Sąjungos prioriteto „Aplinkosaugos požiūriu tvarios, efektyviai išteklius naudojančios, inovacinės, konkurencingos ir žiniomis grindžiamos akvakultūros skatinimas” priemonės „Produktyvios investicijos į akvakultūrą” </w:t>
            </w:r>
            <w:r w:rsidRPr="00366C16">
              <w:rPr>
                <w:rFonts w:ascii="Times New Roman" w:hAnsi="Times New Roman"/>
                <w:color w:val="000000"/>
                <w:sz w:val="23"/>
                <w:szCs w:val="23"/>
              </w:rPr>
              <w:t xml:space="preserve">įgyvendinimo taisyklių, patvirtintų Lietuvos Respublikos žemės ūkio ministro 2016 m. sausio 28 d. įsakymu Nr. 3D-36 „Dėl Lietuvos žuvininkystės sektoriaus 2014–2020 metų veiksmų programos antrojo </w:t>
            </w:r>
            <w:r w:rsidRPr="00366C16">
              <w:rPr>
                <w:rFonts w:ascii="Times New Roman" w:hAnsi="Times New Roman"/>
                <w:sz w:val="23"/>
                <w:szCs w:val="23"/>
              </w:rPr>
              <w:t xml:space="preserve">Sąjungos prioriteto „Aplinkosaugos požiūriu tvarios, efektyviai išteklius naudojančios, inovacinės, konkurencingos ir žiniomis grindžiamos akvakultūros skatinimas” priemonės „Produktyvios investicijos į akvakultūrą” </w:t>
            </w:r>
            <w:r w:rsidRPr="00366C16">
              <w:rPr>
                <w:rFonts w:ascii="Times New Roman" w:hAnsi="Times New Roman"/>
                <w:color w:val="000000"/>
                <w:sz w:val="23"/>
                <w:szCs w:val="23"/>
              </w:rPr>
              <w:t xml:space="preserve">įgyvendinimo taisyklių patvirtinimo” </w:t>
            </w:r>
            <w:r w:rsidRPr="00366C16">
              <w:rPr>
                <w:rFonts w:ascii="Times New Roman" w:hAnsi="Times New Roman"/>
                <w:sz w:val="23"/>
                <w:szCs w:val="23"/>
              </w:rPr>
              <w:t>(toliau – Taisyklės) 22, 25 ir 26 punktuose nustatytų tinkamumo kriterijų paramai gauti.</w:t>
            </w:r>
          </w:p>
          <w:p w14:paraId="7882EFC1" w14:textId="77777777" w:rsidR="00366C16" w:rsidRPr="00366C16" w:rsidRDefault="00366C16" w:rsidP="00366C16">
            <w:pPr>
              <w:spacing w:after="0" w:line="240" w:lineRule="auto"/>
              <w:jc w:val="both"/>
              <w:rPr>
                <w:rFonts w:ascii="Times New Roman" w:hAnsi="Times New Roman"/>
                <w:sz w:val="23"/>
                <w:szCs w:val="23"/>
              </w:rPr>
            </w:pPr>
            <w:r w:rsidRPr="00366C16">
              <w:rPr>
                <w:rFonts w:ascii="Times New Roman" w:hAnsi="Times New Roman"/>
                <w:sz w:val="23"/>
                <w:szCs w:val="23"/>
              </w:rPr>
              <w:t xml:space="preserve">      1.  Taisyklių 22 punkte nurodyta, jog pareiškėjas turi užtikrinti tinkamą projekto finansavimo šaltinį – skolintas lėšas, paramos lėšas, iš veiklos gautinas lėšas, nuosavas lėšas – kuris turi būti pagrįstas verslo plano, finansinių ataskaitų duomenimis. Skolintos lėšos pagrindžiamos kartu su paramos paraiška, pateikiant kredito įstaigos paskolos suteikimo galimybės patvirtinimo dokumentus. Paskolos ar išperkamosios nuomos/lizingo (finansinės nuomos) sutartis turi būti pateikta tada, kai pareiškėjas turi užtikrinti projekto išlaidų/investicijų finansavimą, t. y. paskolos ar išperkamosios nuomos/lizingo (finansinės nuomos) sutartis pateikiama su tuo mokėjimo prašymu, kuriuo yra prašoma apmokėti patirtas išlaidas/investicijas, panaudojant skolintas lėšas. Agentūra neatsako už kreditoriaus turimų lėšų patikimumą, realumą, prievolių vykdymą Lietuvos Respublikos teisės aktų nustatyta tvarka bei už kreditoriaus ir paskolos gavėjo įsipareigojimų nevykdymą.</w:t>
            </w:r>
          </w:p>
          <w:p w14:paraId="5234B593" w14:textId="77777777" w:rsidR="00366C16" w:rsidRPr="00366C16" w:rsidRDefault="00366C16" w:rsidP="00366C16">
            <w:pPr>
              <w:spacing w:after="0" w:line="240" w:lineRule="auto"/>
              <w:jc w:val="both"/>
              <w:rPr>
                <w:rFonts w:ascii="Times New Roman" w:hAnsi="Times New Roman"/>
                <w:sz w:val="23"/>
                <w:szCs w:val="23"/>
              </w:rPr>
            </w:pPr>
            <w:r w:rsidRPr="00366C16">
              <w:rPr>
                <w:rFonts w:ascii="Times New Roman" w:hAnsi="Times New Roman"/>
                <w:sz w:val="23"/>
                <w:szCs w:val="23"/>
              </w:rPr>
              <w:t xml:space="preserve">      Taisyklių 67 punkte numatyta, kad priemonei taikomas paramos lėšų išmokėjimo būdas – išlaidų kompensavimas </w:t>
            </w:r>
            <w:r w:rsidRPr="00366C16">
              <w:rPr>
                <w:rFonts w:ascii="Times New Roman" w:hAnsi="Times New Roman"/>
                <w:color w:val="000000"/>
                <w:sz w:val="23"/>
                <w:szCs w:val="23"/>
                <w:shd w:val="clear" w:color="auto" w:fill="FFFFFF"/>
              </w:rPr>
              <w:t xml:space="preserve">Lietuvos žuvininkystės sektoriaus 2014–2020 metų veiksmų programos administravimo taisyklių, patvirtintų </w:t>
            </w:r>
            <w:r w:rsidRPr="00366C16">
              <w:rPr>
                <w:rFonts w:ascii="Times New Roman" w:hAnsi="Times New Roman"/>
                <w:color w:val="000000"/>
                <w:sz w:val="23"/>
                <w:szCs w:val="23"/>
              </w:rPr>
              <w:t xml:space="preserve">Lietuvos Respublikos žemės ūkio ministro 2015 m. vasario 9 d. įsakymu Nr. 3D-75 „Dėl </w:t>
            </w:r>
            <w:r w:rsidRPr="00366C16">
              <w:rPr>
                <w:rFonts w:ascii="Times New Roman" w:hAnsi="Times New Roman"/>
                <w:color w:val="000000"/>
                <w:sz w:val="23"/>
                <w:szCs w:val="23"/>
                <w:shd w:val="clear" w:color="auto" w:fill="FFFFFF"/>
              </w:rPr>
              <w:t xml:space="preserve">Lietuvos žuvininkystės sektoriaus 2014–2020 metų veiksmų programos administravimo taisyklių, patvirtinimo” (toliau – </w:t>
            </w:r>
            <w:r w:rsidRPr="00366C16">
              <w:rPr>
                <w:rFonts w:ascii="Times New Roman" w:hAnsi="Times New Roman"/>
                <w:sz w:val="23"/>
                <w:szCs w:val="23"/>
              </w:rPr>
              <w:t xml:space="preserve">Administravimo taisyklės) nustatyta tvarka. </w:t>
            </w:r>
          </w:p>
          <w:p w14:paraId="4B26A8FC" w14:textId="77777777" w:rsidR="00366C16" w:rsidRPr="00366C16" w:rsidRDefault="00366C16" w:rsidP="00366C16">
            <w:pPr>
              <w:spacing w:after="0" w:line="240" w:lineRule="auto"/>
              <w:jc w:val="both"/>
              <w:rPr>
                <w:rFonts w:ascii="Times New Roman" w:hAnsi="Times New Roman"/>
                <w:sz w:val="23"/>
                <w:szCs w:val="23"/>
              </w:rPr>
            </w:pPr>
            <w:r w:rsidRPr="00366C16">
              <w:rPr>
                <w:rFonts w:ascii="Times New Roman" w:hAnsi="Times New Roman"/>
                <w:sz w:val="23"/>
                <w:szCs w:val="23"/>
              </w:rPr>
              <w:t xml:space="preserve">      </w:t>
            </w:r>
            <w:r w:rsidRPr="00366C16">
              <w:rPr>
                <w:rFonts w:ascii="Times New Roman" w:hAnsi="Times New Roman"/>
                <w:color w:val="000000"/>
                <w:sz w:val="23"/>
                <w:szCs w:val="23"/>
                <w:shd w:val="clear" w:color="auto" w:fill="FFFFFF"/>
              </w:rPr>
              <w:t xml:space="preserve">Administravimo taisyklių </w:t>
            </w:r>
            <w:r w:rsidRPr="00366C16">
              <w:rPr>
                <w:rFonts w:ascii="Times New Roman" w:hAnsi="Times New Roman"/>
                <w:sz w:val="23"/>
                <w:szCs w:val="23"/>
              </w:rPr>
              <w:t>137.1 papunktyje numatyta, kad paramos gavėjas pradeda įgyvendinti projektą iš nuosavų lėšų ir (arba) skolintų lėšų ir teikia Agentūrai mokėjimo prašymus Taisyklėse nustatyta tvarka, kuriuose deklaruoja projekto įgyvendinimo metu patirtas ir apmokėtas išlaidas, pridėdamas išlaidų pagrindimo ir išlaidų apmokėjimo įrodymo dokumentus. Paramos gavėjui pervestos paramos lėšos pripažįstamos EK tinkamomis deklaruoti išlaidomis.</w:t>
            </w:r>
          </w:p>
          <w:p w14:paraId="252DAA8F" w14:textId="77777777" w:rsidR="00366C16" w:rsidRPr="00366C16" w:rsidRDefault="00366C16" w:rsidP="00366C16">
            <w:pPr>
              <w:spacing w:after="0" w:line="240" w:lineRule="auto"/>
              <w:ind w:firstLine="449"/>
              <w:jc w:val="both"/>
              <w:textAlignment w:val="center"/>
              <w:rPr>
                <w:rFonts w:ascii="Times New Roman" w:hAnsi="Times New Roman"/>
                <w:color w:val="000000"/>
                <w:sz w:val="23"/>
                <w:szCs w:val="23"/>
              </w:rPr>
            </w:pPr>
            <w:r w:rsidRPr="00366C16">
              <w:rPr>
                <w:rFonts w:ascii="Times New Roman" w:hAnsi="Times New Roman"/>
                <w:color w:val="000000"/>
                <w:sz w:val="23"/>
                <w:szCs w:val="23"/>
              </w:rPr>
              <w:t xml:space="preserve">Pareiškėja paraiškos II skyriuje „Informacija apie projektą, kuriam prašoma paramos” nurodė, kad planuoja projektą pradėti įgyvendinti 2018 m. gruodžio mėn. ir projektą įgyvendinti iki 2020 m. balandžio mėn. bei  nurodė, jog prašoma paramos suma yra 391 406 Eur. Taip pat Paraiškoje nurodė, kad Projektą finansuos paramos lėšomis, Projekto finansavimui panaudodama visą paramos sumą (391 406 Eur) ir verslo plane nurodė, jog planuoja Projektą įgyvendinti 3 etapais bei, jog I etape planuojamų įsigyti investicijų įsigijimas bus finansuojamas paramos ir paskolos lėšomis, tačiau  paraiškos V skyriuje „Projekto finansavimo šaltiniai“ </w:t>
            </w:r>
            <w:r w:rsidRPr="00366C16">
              <w:rPr>
                <w:rFonts w:ascii="Times New Roman" w:hAnsi="Times New Roman"/>
                <w:color w:val="000000"/>
                <w:sz w:val="23"/>
                <w:szCs w:val="23"/>
              </w:rPr>
              <w:lastRenderedPageBreak/>
              <w:t xml:space="preserve">nenurodė, kokias konkrečiai investicijas planuoja įsigyti kiekviename etape, už kurias gauta parama bus naudojama antrajam ir (arba) n-tajam projekto etapui, finansuoti, o verslo plano VIII skyriuje „Informacija apie investicijas ir finansavimo šaltinius“ nenurodė kiek nuosavų, paskolos ar paramos lėšų bus skiriama kiekvienos planuojamos įsigyti investicijos įsigijimo išlaidoms finansuoti.  </w:t>
            </w:r>
          </w:p>
          <w:p w14:paraId="63F4EFB6" w14:textId="77777777" w:rsidR="00366C16" w:rsidRPr="00366C16" w:rsidRDefault="00366C16" w:rsidP="00366C16">
            <w:pPr>
              <w:spacing w:after="0" w:line="240" w:lineRule="auto"/>
              <w:jc w:val="both"/>
              <w:textAlignment w:val="center"/>
              <w:rPr>
                <w:rFonts w:ascii="Times New Roman" w:hAnsi="Times New Roman"/>
                <w:color w:val="000000"/>
                <w:sz w:val="23"/>
                <w:szCs w:val="23"/>
              </w:rPr>
            </w:pPr>
            <w:r w:rsidRPr="00366C16">
              <w:rPr>
                <w:rFonts w:ascii="Times New Roman" w:hAnsi="Times New Roman"/>
                <w:color w:val="000000"/>
                <w:sz w:val="23"/>
                <w:szCs w:val="23"/>
              </w:rPr>
              <w:t xml:space="preserve">      Taip pat nurodė, kad projektą finansuos Projekto vykdymo laikotarpiu iš veiklos gautinomis lėšomis (182 646,09 Eur), tačiau verslo plano V skyriuje „Informacija apie produkcijos gamybą ir pardavimus“ nurodė, kad 2018 m. iš produkcijos pardavimo planuoja gauti tik 105 000 Eur pajamų, kai tuo tarpu VIII skyriuje „Informacija apie investicijas ir finansavimo šaltinius“ 2 lentelėje „Investicijų įgyvendinimo ir paramos išmokėjimo planas“ nurodyta, jog I etape (2017-2018 m) planuojamų įsigyti investicijų vertė yra 568 560,97 Eur su PVM.</w:t>
            </w:r>
          </w:p>
          <w:p w14:paraId="469D090F" w14:textId="77777777" w:rsidR="00366C16" w:rsidRPr="00366C16" w:rsidRDefault="00366C16" w:rsidP="00366C16">
            <w:pPr>
              <w:spacing w:after="0" w:line="240" w:lineRule="auto"/>
              <w:jc w:val="both"/>
              <w:textAlignment w:val="center"/>
              <w:rPr>
                <w:rFonts w:ascii="Times New Roman" w:hAnsi="Times New Roman"/>
                <w:color w:val="000000"/>
                <w:sz w:val="23"/>
                <w:szCs w:val="23"/>
              </w:rPr>
            </w:pPr>
            <w:r w:rsidRPr="00366C16">
              <w:rPr>
                <w:rFonts w:ascii="Times New Roman" w:hAnsi="Times New Roman"/>
                <w:color w:val="000000"/>
                <w:sz w:val="23"/>
                <w:szCs w:val="23"/>
              </w:rPr>
              <w:t xml:space="preserve">      Taip pat nurodė, kad Projektą finansuos paskolos lėšomis (478 384,99 Eur) ir pateikė 2017 m. liepos 21 d. Klaipėdos kredito unijos raštą Nr. SD-67-17 „Dėl kredito suteikimo „UAB „Linkuvos lagūnos”” (toliau – Paskolos raštas), tačiau Paskolos rašte nebuvo nurodytas paskolos grąžinimo grafikas ir paskolos grąžinimo pradžios data.</w:t>
            </w:r>
          </w:p>
          <w:p w14:paraId="11716C87" w14:textId="77777777" w:rsidR="00366C16" w:rsidRPr="00366C16" w:rsidRDefault="00366C16" w:rsidP="00366C16">
            <w:pPr>
              <w:spacing w:after="0" w:line="240" w:lineRule="auto"/>
              <w:jc w:val="both"/>
              <w:rPr>
                <w:rFonts w:ascii="Times New Roman" w:hAnsi="Times New Roman"/>
                <w:color w:val="000000"/>
                <w:sz w:val="23"/>
                <w:szCs w:val="23"/>
              </w:rPr>
            </w:pPr>
            <w:r w:rsidRPr="00366C16">
              <w:rPr>
                <w:rFonts w:ascii="Times New Roman" w:hAnsi="Times New Roman"/>
                <w:sz w:val="23"/>
                <w:szCs w:val="23"/>
              </w:rPr>
              <w:t xml:space="preserve">       Atsižvelgiant į tai, jog Pareiškėja paraiškoje nurodė, jog Projektą finansuos visa paramos suma (391 406 Eur) ir į tai, kad finansinėse prognozėse 2018 m. apskaityta projekto vykdymo laikotarpiu iš veiklos gautinų lėšų suma nėra pakankama I etape planuojamų įsigyti investicijų išlaidų vertei finansuoti bei į tai, jog  šiai Priemonei yra taikomas išlaidų kompensavimo mokėjimo būdas, t. y., paramos gavėjas pradeda įgyvendinti Projektą savo ir (arba) skolintomis lėšomis ir Agentūrai teikia mokėjimo prašymus, kuriuose deklaruoja patirtas ir apmokėtas išlaidas, pridėdamas išlaidų pagrindimo ir apmokėjimo įrodymo dokumentus, bei į tai, jog Paskolos rašte nėra nurodytas paskolos grąžinimo grafikas ir paskolos grąžinimo pradžios data, Pareiškėjai, vadovaujantis Administravimo taisyklių 71 punktu, kuriame įtvirtinta, jog iškilus klausimams, susijusiems su paramos paraiškos vertinimu ir (arba) projekto vykdymu ar pareiškėjo veikla, pareiškėjo gali būti paprašyta pateikti papildomų dokumentų, 2017 m. rugpjūčio 17 d. buvo išsiųstas paklausimas dėl reikiamų dokumentų pateikimo/duomenų tikslinimo Nr. BR6-8427 (toliau – Paklausimas), prašant </w:t>
            </w:r>
            <w:r w:rsidRPr="00366C16">
              <w:rPr>
                <w:rFonts w:ascii="Times New Roman" w:hAnsi="Times New Roman"/>
                <w:color w:val="000000"/>
                <w:sz w:val="23"/>
                <w:szCs w:val="23"/>
              </w:rPr>
              <w:t xml:space="preserve">patikslinti informaciją Paraiškoje ir verslo plane, nurodant kiek planuoja pateikti mokėjimo prašymų (ne daugiau kaip keturis mokėjimo prašymus) ir kokioms investicijoms, už kurias gauta parama bus naudojama antrajam ir (arba) n-tajam projekto etapui, finansuoti bei pateikti paaiškinimus ir dokumentus užtikrinančius tinkamą projekto finansavimo šaltinį.  </w:t>
            </w:r>
          </w:p>
          <w:p w14:paraId="475D35FC" w14:textId="77777777" w:rsidR="00366C16" w:rsidRPr="00366C16" w:rsidRDefault="00366C16" w:rsidP="00366C16">
            <w:pPr>
              <w:spacing w:after="0" w:line="240" w:lineRule="auto"/>
              <w:jc w:val="both"/>
              <w:rPr>
                <w:rFonts w:ascii="Times New Roman" w:hAnsi="Times New Roman"/>
                <w:color w:val="000000"/>
                <w:sz w:val="23"/>
                <w:szCs w:val="23"/>
              </w:rPr>
            </w:pPr>
            <w:r w:rsidRPr="00366C16">
              <w:rPr>
                <w:rFonts w:ascii="Times New Roman" w:hAnsi="Times New Roman"/>
                <w:color w:val="000000"/>
                <w:sz w:val="23"/>
                <w:szCs w:val="23"/>
              </w:rPr>
              <w:t xml:space="preserve">      2017 m. rugpjūčio 31 d. Pareiškėja pateikė prašymą pratęsti informacijos/dokumentų pateikimo terminą (2017 m. rugpjūčio 31 d., </w:t>
            </w:r>
            <w:proofErr w:type="spellStart"/>
            <w:r w:rsidRPr="00366C16">
              <w:rPr>
                <w:rFonts w:ascii="Times New Roman" w:hAnsi="Times New Roman"/>
                <w:color w:val="000000"/>
                <w:sz w:val="23"/>
                <w:szCs w:val="23"/>
              </w:rPr>
              <w:t>reg</w:t>
            </w:r>
            <w:proofErr w:type="spellEnd"/>
            <w:r w:rsidRPr="00366C16">
              <w:rPr>
                <w:rFonts w:ascii="Times New Roman" w:hAnsi="Times New Roman"/>
                <w:color w:val="000000"/>
                <w:sz w:val="23"/>
                <w:szCs w:val="23"/>
              </w:rPr>
              <w:t xml:space="preserve">. Nr. BR5.2-11898) iki 2017 m. rugsėjo 8 d. bei 2017 m. rugsėjo 11 d. pateikė prašymą pratęsti informacijos/dokumentų pateikimo terminą (2017 m. rugsėjo11 d., </w:t>
            </w:r>
            <w:proofErr w:type="spellStart"/>
            <w:r w:rsidRPr="00366C16">
              <w:rPr>
                <w:rFonts w:ascii="Times New Roman" w:hAnsi="Times New Roman"/>
                <w:color w:val="000000"/>
                <w:sz w:val="23"/>
                <w:szCs w:val="23"/>
              </w:rPr>
              <w:t>reg</w:t>
            </w:r>
            <w:proofErr w:type="spellEnd"/>
            <w:r w:rsidRPr="00366C16">
              <w:rPr>
                <w:rFonts w:ascii="Times New Roman" w:hAnsi="Times New Roman"/>
                <w:color w:val="000000"/>
                <w:sz w:val="23"/>
                <w:szCs w:val="23"/>
              </w:rPr>
              <w:t xml:space="preserve">. Nr. BR5.2-12286) iki 2017 m. rugsėjo 13 d., tačiau per nustatytą laiką Pareiškėja nepateikė prašomos informacijos ir dokumentų, todėl </w:t>
            </w:r>
            <w:r w:rsidRPr="00366C16">
              <w:rPr>
                <w:rFonts w:ascii="Times New Roman" w:hAnsi="Times New Roman"/>
                <w:sz w:val="23"/>
                <w:szCs w:val="23"/>
              </w:rPr>
              <w:t xml:space="preserve">vadovaujantis Administravimo taisyklių 71 punktu, kuriame nurodyta, jog per pranešime nustatytą laiką, ne trumpesnį kaip 5 darbo dienos, negavus prašomų duomenų, siunčiamas pakartotinis pranešimas, 2017 m. rugsėjo 20 d. Pareiškėjai buvo išsiųstas paklausimas dėl reikiamų dokumentų pateikimo/duomenų tikslinimo Nr. BR6-9845 (toliau - Paklausimas Nr. 2), pakartotinai prašant </w:t>
            </w:r>
            <w:r w:rsidRPr="00366C16">
              <w:rPr>
                <w:rFonts w:ascii="Times New Roman" w:hAnsi="Times New Roman"/>
                <w:color w:val="000000"/>
                <w:sz w:val="23"/>
                <w:szCs w:val="23"/>
              </w:rPr>
              <w:t xml:space="preserve">patikslinti informaciją Paraiškoje ir verslo plane, nurodant </w:t>
            </w:r>
            <w:r w:rsidRPr="00366C16">
              <w:rPr>
                <w:rFonts w:ascii="Times New Roman" w:hAnsi="Times New Roman"/>
                <w:color w:val="000000"/>
                <w:sz w:val="23"/>
                <w:szCs w:val="23"/>
              </w:rPr>
              <w:lastRenderedPageBreak/>
              <w:t xml:space="preserve">kiek planuoja pateikti mokėjimo prašymų (ne daugiau kaip keturis mokėjimo prašymus) ir kokioms investicijoms, už kurias gauta parama bus naudojama antrajam ir (arba) n-tajam projekto etapui, finansuoti bei pateikti paaiškinimus ir dokumentus užtikrinančius tinkamą projekto finansavimo šaltinį. </w:t>
            </w:r>
          </w:p>
          <w:p w14:paraId="5DECCE33" w14:textId="77777777" w:rsidR="00366C16" w:rsidRPr="00366C16" w:rsidRDefault="00366C16" w:rsidP="00366C16">
            <w:pPr>
              <w:spacing w:after="0" w:line="240" w:lineRule="auto"/>
              <w:jc w:val="both"/>
              <w:rPr>
                <w:rFonts w:ascii="Times New Roman" w:hAnsi="Times New Roman"/>
                <w:color w:val="000000"/>
                <w:sz w:val="23"/>
                <w:szCs w:val="23"/>
              </w:rPr>
            </w:pPr>
            <w:r w:rsidRPr="00366C16">
              <w:rPr>
                <w:rFonts w:ascii="Times New Roman" w:hAnsi="Times New Roman"/>
                <w:color w:val="000000"/>
                <w:sz w:val="23"/>
                <w:szCs w:val="23"/>
              </w:rPr>
              <w:t xml:space="preserve">       Pareiškėja 2017 m. spalio 9 d. atsakydama į Paklausimą Nr. 2 (</w:t>
            </w:r>
            <w:proofErr w:type="spellStart"/>
            <w:r w:rsidRPr="00366C16">
              <w:rPr>
                <w:rFonts w:ascii="Times New Roman" w:hAnsi="Times New Roman"/>
                <w:color w:val="000000"/>
                <w:sz w:val="23"/>
                <w:szCs w:val="23"/>
              </w:rPr>
              <w:t>reg</w:t>
            </w:r>
            <w:proofErr w:type="spellEnd"/>
            <w:r w:rsidRPr="00366C16">
              <w:rPr>
                <w:rFonts w:ascii="Times New Roman" w:hAnsi="Times New Roman"/>
                <w:color w:val="000000"/>
                <w:sz w:val="23"/>
                <w:szCs w:val="23"/>
              </w:rPr>
              <w:t xml:space="preserve">. Nr. BR5.2-13738), pateikė patikslintą Paskolos raštą, patikslino informaciją verslo plane apie planuojamų pateikti mokėjimo prašymų skaičių, tačiau nepatikslino informacijos Paraiškoje ir verslo plane apie investicijas, už kurias gauta parama bus naudojama antrajam ir (arba) n-tajam projekto etapui, finansuoti bei nepateikė paaiškinimų ir dokumentus užtikrinančius tinkamą projekto finansavimo šaltinį. </w:t>
            </w:r>
          </w:p>
          <w:p w14:paraId="60AF6992" w14:textId="77777777" w:rsidR="00366C16" w:rsidRPr="00366C16" w:rsidRDefault="00366C16" w:rsidP="00366C16">
            <w:pPr>
              <w:spacing w:after="0" w:line="240" w:lineRule="auto"/>
              <w:jc w:val="both"/>
              <w:rPr>
                <w:rFonts w:ascii="Times New Roman" w:hAnsi="Times New Roman"/>
                <w:color w:val="000000"/>
                <w:sz w:val="23"/>
                <w:szCs w:val="23"/>
              </w:rPr>
            </w:pPr>
            <w:r w:rsidRPr="00366C16">
              <w:rPr>
                <w:rFonts w:ascii="Times New Roman" w:hAnsi="Times New Roman"/>
                <w:color w:val="000000"/>
                <w:sz w:val="23"/>
                <w:szCs w:val="23"/>
              </w:rPr>
              <w:t xml:space="preserve">        Atsižvelgiant į tai, jog Pareiškėja atsakydama į Paklausimą Nr. 2, nepateikė visos prašomos informacijos ir dokumentų, Pareiškėjai 2017 m. lapkričio 3 d. buvo išsiųstas</w:t>
            </w:r>
            <w:r w:rsidRPr="00366C16">
              <w:rPr>
                <w:rFonts w:ascii="Times New Roman" w:hAnsi="Times New Roman"/>
                <w:sz w:val="23"/>
                <w:szCs w:val="23"/>
              </w:rPr>
              <w:t xml:space="preserve"> paklausimas dėl reikiamų dokumentų pateikimo/duomenų tikslinimo Nr. BR6-11675 (toliau - Paklausimas Nr. 3), pakartotinai prašant </w:t>
            </w:r>
            <w:r w:rsidRPr="00366C16">
              <w:rPr>
                <w:rFonts w:ascii="Times New Roman" w:hAnsi="Times New Roman"/>
                <w:color w:val="000000"/>
                <w:sz w:val="23"/>
                <w:szCs w:val="23"/>
              </w:rPr>
              <w:t>patikslinti informaciją Paraiškoje ir verslo plane, nurodant kiek planuoja pateikti mokėjimo prašymų (ne daugiau kaip keturis mokėjimo prašymus) ir kokioms investicijoms, už kurias gauta parama bus naudojama antrajam ir (arba) n-tajam projekto etapui, finansuoti bei pateikti paaiškinimus ir dokumentus užtikrinančius tinkamą projekto finansavimo šaltinį.</w:t>
            </w:r>
          </w:p>
          <w:p w14:paraId="4471E739" w14:textId="77777777" w:rsidR="00366C16" w:rsidRPr="00366C16" w:rsidRDefault="00366C16" w:rsidP="00366C16">
            <w:pPr>
              <w:spacing w:after="0" w:line="240" w:lineRule="auto"/>
              <w:jc w:val="both"/>
              <w:rPr>
                <w:rFonts w:ascii="Times New Roman" w:hAnsi="Times New Roman"/>
                <w:color w:val="000000"/>
                <w:sz w:val="23"/>
                <w:szCs w:val="23"/>
              </w:rPr>
            </w:pPr>
            <w:r w:rsidRPr="00366C16">
              <w:rPr>
                <w:rFonts w:ascii="Times New Roman" w:hAnsi="Times New Roman"/>
                <w:color w:val="000000"/>
                <w:sz w:val="23"/>
                <w:szCs w:val="23"/>
              </w:rPr>
              <w:t xml:space="preserve">       Per nustatytą laiką Pareiškėja nepateikė prašomos informacijos ir dokumentų, todėl </w:t>
            </w:r>
            <w:r w:rsidRPr="00366C16">
              <w:rPr>
                <w:rFonts w:ascii="Times New Roman" w:hAnsi="Times New Roman"/>
                <w:sz w:val="23"/>
                <w:szCs w:val="23"/>
              </w:rPr>
              <w:t xml:space="preserve">vadovaujantis Administravimo taisyklių 71 punktu, kuriame nurodyta, jog per pranešime nustatytą laiką, ne trumpesnį kaip 5 darbo dienos, negavus prašomų duomenų, siunčiamas pakartotinis pranešimas, 2017 m. lapkričio 17 d. Pareiškėjai buvo išsiųstas paklausimas dėl reikiamų dokumentų pateikimo/duomenų tikslinimo Nr. BR6-12091 (toliau - Paklausimas Nr. 4), pakartotinai prašant </w:t>
            </w:r>
            <w:r w:rsidRPr="00366C16">
              <w:rPr>
                <w:rFonts w:ascii="Times New Roman" w:hAnsi="Times New Roman"/>
                <w:color w:val="000000"/>
                <w:sz w:val="23"/>
                <w:szCs w:val="23"/>
              </w:rPr>
              <w:t>patikslinti informaciją Paraiškoje ir verslo plane, nurodant kiek planuoja pateikti mokėjimo prašymų (ne daugiau kaip keturis mokėjimo prašymus) ir kokioms investicijoms, už kurias gauta parama bus naudojama antrajam ir (arba) n-tajam projekto etapui, finansuoti bei pateikti paaiškinimus ir dokumentus užtikrinančius tinkamą projekto finansavimo šaltinį.</w:t>
            </w:r>
          </w:p>
          <w:p w14:paraId="60C03FBC" w14:textId="77777777" w:rsidR="00366C16" w:rsidRPr="00366C16" w:rsidRDefault="00366C16" w:rsidP="00366C16">
            <w:pPr>
              <w:spacing w:after="0" w:line="240" w:lineRule="auto"/>
              <w:jc w:val="both"/>
              <w:rPr>
                <w:rFonts w:ascii="Times New Roman" w:hAnsi="Times New Roman"/>
                <w:color w:val="000000"/>
                <w:sz w:val="23"/>
                <w:szCs w:val="23"/>
              </w:rPr>
            </w:pPr>
            <w:r w:rsidRPr="00366C16">
              <w:rPr>
                <w:rFonts w:ascii="Times New Roman" w:hAnsi="Times New Roman"/>
                <w:sz w:val="23"/>
                <w:szCs w:val="23"/>
              </w:rPr>
              <w:t xml:space="preserve">       </w:t>
            </w:r>
            <w:r w:rsidRPr="00366C16">
              <w:rPr>
                <w:rFonts w:ascii="Times New Roman" w:hAnsi="Times New Roman"/>
                <w:color w:val="000000"/>
                <w:sz w:val="23"/>
                <w:szCs w:val="23"/>
              </w:rPr>
              <w:t>2017 m. lapkričio 23 d. Pareiškėja pateikė atsakymą į Paklausimą Nr. 4 (</w:t>
            </w:r>
            <w:proofErr w:type="spellStart"/>
            <w:r w:rsidRPr="00366C16">
              <w:rPr>
                <w:rFonts w:ascii="Times New Roman" w:hAnsi="Times New Roman"/>
                <w:color w:val="000000"/>
                <w:sz w:val="23"/>
                <w:szCs w:val="23"/>
              </w:rPr>
              <w:t>reg</w:t>
            </w:r>
            <w:proofErr w:type="spellEnd"/>
            <w:r w:rsidRPr="00366C16">
              <w:rPr>
                <w:rFonts w:ascii="Times New Roman" w:hAnsi="Times New Roman"/>
                <w:color w:val="000000"/>
                <w:sz w:val="23"/>
                <w:szCs w:val="23"/>
              </w:rPr>
              <w:t xml:space="preserve">. Nr. BR5.2-16973), kuriame patikslino informaciją Paraiškoje ir verslo plane apie planuojamų pateikti mokėjimo prašymų skaičių ir nurodė investicijas, už kurias gauta parama bus naudojama antrajam ir trečiajam projekto etapui, bei nurodė, jog Projektą planuoja finansuoti iš I ir II etapų gautomis paramos lėšomis (188 073,71 Eur), iš veiklos gautinomis lėšomis (385 988,30 Eur, iš kurių – 203 342,21 Eur iš veiklos gautinos lėšos, 182 646,09 Eur susigrąžinto pridėtinės vertės mokesčio lėšos) ir paskolos lėšomis (478 384,99 Eur). </w:t>
            </w:r>
          </w:p>
          <w:p w14:paraId="4A59FAD2" w14:textId="77777777" w:rsidR="00366C16" w:rsidRPr="00366C16" w:rsidRDefault="00366C16" w:rsidP="00366C16">
            <w:pPr>
              <w:tabs>
                <w:tab w:val="left" w:pos="-540"/>
              </w:tabs>
              <w:spacing w:after="0" w:line="240" w:lineRule="auto"/>
              <w:jc w:val="both"/>
              <w:rPr>
                <w:rFonts w:ascii="Times New Roman" w:hAnsi="Times New Roman"/>
                <w:color w:val="000000"/>
                <w:sz w:val="23"/>
                <w:szCs w:val="23"/>
              </w:rPr>
            </w:pPr>
            <w:r w:rsidRPr="00366C16">
              <w:rPr>
                <w:rFonts w:ascii="Times New Roman" w:hAnsi="Times New Roman"/>
                <w:sz w:val="23"/>
                <w:szCs w:val="23"/>
              </w:rPr>
              <w:t xml:space="preserve">       Pagal kartu su atsakymu į Paklausimą Nr.4 pateiktą verslo plano prognozinę finansinę atskaitomybę bei vadovaujantis 5-ojo verslo apskaitos standarto „Pinigų srautų ataskaita”, patvirtinto Audito ir apskaitos tarnybos direktoriaus 2010 m. birželio 4 d. įsakymu Nr. VAS-14 „Dėl 5-ojo verslo apskaitos standarto „Pinigų srautų ataskaita“ tvirtinimo“, 3.4 papunkčiu, kuriame nurodyta, jog  „pagrindinės veiklos pinigų srautai – pinigų srautai, susidarantys iš įmonės veiklos, išskyrus finansinę ir investicinę veiklą“, nustatyta, kad verslo plano pinigų srautų ataskaitos </w:t>
            </w:r>
            <w:r w:rsidRPr="00366C16">
              <w:rPr>
                <w:rFonts w:ascii="Times New Roman" w:hAnsi="Times New Roman"/>
                <w:color w:val="000000"/>
                <w:sz w:val="23"/>
                <w:szCs w:val="23"/>
              </w:rPr>
              <w:t xml:space="preserve">eilutėje „Grynieji pagrindinės veiklos pinigų srautai“  Pareiškėja 2017-2020 m. laikotarpiu apskaito </w:t>
            </w:r>
            <w:r w:rsidRPr="00366C16">
              <w:rPr>
                <w:rFonts w:ascii="Times New Roman" w:hAnsi="Times New Roman"/>
                <w:color w:val="000000"/>
                <w:sz w:val="23"/>
                <w:szCs w:val="23"/>
              </w:rPr>
              <w:lastRenderedPageBreak/>
              <w:t>tik 94 767 Eur grynųjų pagrindinės veiklos pinigų srautų sumą, kai tuo tarpu projekto finansavimui planuoja panaudoti 203 342,21 Eur iš veiklos gautinų lėšų sumą.</w:t>
            </w:r>
          </w:p>
          <w:p w14:paraId="78F816DD" w14:textId="77777777" w:rsidR="00366C16" w:rsidRPr="00366C16" w:rsidRDefault="00366C16" w:rsidP="00366C16">
            <w:pPr>
              <w:tabs>
                <w:tab w:val="left" w:pos="-540"/>
              </w:tabs>
              <w:spacing w:after="0" w:line="240" w:lineRule="auto"/>
              <w:jc w:val="both"/>
              <w:rPr>
                <w:rFonts w:ascii="Times New Roman" w:hAnsi="Times New Roman"/>
                <w:sz w:val="23"/>
                <w:szCs w:val="23"/>
              </w:rPr>
            </w:pPr>
            <w:r w:rsidRPr="00366C16">
              <w:rPr>
                <w:rFonts w:ascii="Times New Roman" w:hAnsi="Times New Roman"/>
                <w:sz w:val="23"/>
                <w:szCs w:val="23"/>
              </w:rPr>
              <w:t xml:space="preserve">      Atsižvelgiant į įmonės pateiktus finansinės veiklos pinigų srautus, nustatyta, kad Projekto įgyvendinimo laikotarpiu (2017 - 2020 m.) Pareiškėja neužtikrina tinkamo projekto finansavimo šaltinio ir todėl Projektas neatitinka Taisyklių 22 punkte nurodyto tinkamumo kriterijaus paramai gauti.</w:t>
            </w:r>
          </w:p>
          <w:p w14:paraId="60920E8D" w14:textId="77777777" w:rsidR="00366C16" w:rsidRPr="00366C16" w:rsidRDefault="00366C16" w:rsidP="00366C16">
            <w:pPr>
              <w:tabs>
                <w:tab w:val="left" w:pos="-540"/>
              </w:tabs>
              <w:spacing w:after="0" w:line="240" w:lineRule="auto"/>
              <w:jc w:val="both"/>
              <w:rPr>
                <w:rFonts w:ascii="Times New Roman" w:hAnsi="Times New Roman"/>
                <w:sz w:val="23"/>
                <w:szCs w:val="23"/>
              </w:rPr>
            </w:pPr>
            <w:r w:rsidRPr="00366C16">
              <w:rPr>
                <w:rFonts w:ascii="Times New Roman" w:hAnsi="Times New Roman"/>
                <w:sz w:val="23"/>
                <w:szCs w:val="23"/>
              </w:rPr>
              <w:t xml:space="preserve">       </w:t>
            </w:r>
            <w:r w:rsidRPr="00366C16">
              <w:rPr>
                <w:rFonts w:ascii="Times New Roman" w:hAnsi="Times New Roman"/>
                <w:color w:val="000000"/>
                <w:sz w:val="23"/>
                <w:szCs w:val="23"/>
              </w:rPr>
              <w:t xml:space="preserve">2. Taisyklių </w:t>
            </w:r>
            <w:r w:rsidRPr="00366C16">
              <w:rPr>
                <w:rFonts w:ascii="Times New Roman" w:hAnsi="Times New Roman"/>
                <w:bCs/>
                <w:sz w:val="23"/>
                <w:szCs w:val="23"/>
              </w:rPr>
              <w:t>25 punkte nurodyta, jog Pareiškėjas kartu su paramos paraiška turi pateikti ekonomiškai pagrįstą verslo planą, parengtą pagal Taisyklių 2 priede nustatytą formą. Akvakultūros sektoriuje veiklą pradedantis pareiškėjas kartu su paramos paraiška turi pateikti galimybių studiją, parengtą pagal Taisyklių 3 priede nustatytą formą, jeigu investicijų suma viršija 50 000 Eur be pridėtinės vertės mokesčio (toliau – PVM).</w:t>
            </w:r>
          </w:p>
          <w:p w14:paraId="5E451136" w14:textId="77777777" w:rsidR="00366C16" w:rsidRPr="00366C16" w:rsidRDefault="00366C16" w:rsidP="00366C16">
            <w:pPr>
              <w:spacing w:after="0" w:line="240" w:lineRule="auto"/>
              <w:jc w:val="both"/>
              <w:rPr>
                <w:rFonts w:ascii="Times New Roman" w:hAnsi="Times New Roman"/>
                <w:bCs/>
                <w:sz w:val="23"/>
                <w:szCs w:val="23"/>
              </w:rPr>
            </w:pPr>
            <w:r w:rsidRPr="00366C16">
              <w:rPr>
                <w:rFonts w:ascii="Times New Roman" w:hAnsi="Times New Roman"/>
                <w:bCs/>
                <w:sz w:val="23"/>
                <w:szCs w:val="23"/>
              </w:rPr>
              <w:t xml:space="preserve">      Vertinimo metu nustatyta, jog kartu su Paraiška pateiktas verslo planas parengtas ne pagal Taisyklių 2 priede nustatytą formą:</w:t>
            </w:r>
          </w:p>
          <w:p w14:paraId="1AB2243A" w14:textId="77777777" w:rsidR="00366C16" w:rsidRPr="00366C16" w:rsidRDefault="00366C16" w:rsidP="00366C16">
            <w:pPr>
              <w:spacing w:after="0" w:line="240" w:lineRule="auto"/>
              <w:jc w:val="both"/>
              <w:rPr>
                <w:rFonts w:ascii="Times New Roman" w:hAnsi="Times New Roman"/>
                <w:sz w:val="23"/>
                <w:szCs w:val="23"/>
              </w:rPr>
            </w:pPr>
            <w:r w:rsidRPr="00366C16">
              <w:rPr>
                <w:rFonts w:ascii="Times New Roman" w:hAnsi="Times New Roman"/>
                <w:bCs/>
                <w:sz w:val="23"/>
                <w:szCs w:val="23"/>
              </w:rPr>
              <w:t xml:space="preserve">            * verslo plano V skyriuje „Informacija apie produkcijos gamybą ir pardavimus“ </w:t>
            </w:r>
            <w:r w:rsidRPr="00366C16">
              <w:rPr>
                <w:rFonts w:ascii="Times New Roman" w:hAnsi="Times New Roman"/>
                <w:color w:val="000000"/>
                <w:sz w:val="23"/>
                <w:szCs w:val="23"/>
              </w:rPr>
              <w:t xml:space="preserve">nepateikta informacija apie produkcijos rūšis, pagamintos  ir parduotos produkcijos kiekius ir kainą 2016-2017 m. laikotarpiu bei nepateikta detali informacija apie planuojamos  gaminti ir parduoti produkcijos rūšis  2018-2025 m. laikotarpiu, </w:t>
            </w:r>
            <w:r w:rsidRPr="00366C16">
              <w:rPr>
                <w:rFonts w:ascii="Times New Roman" w:hAnsi="Times New Roman"/>
                <w:sz w:val="23"/>
                <w:szCs w:val="23"/>
              </w:rPr>
              <w:t xml:space="preserve">kai tuo tarpu verslo plano III skyriuje „Informacija apie produkciją ir rinkas“ nurodyta, jog planuojama auginti šias žuvų rūšis: karpius, amūrus, </w:t>
            </w:r>
            <w:proofErr w:type="spellStart"/>
            <w:r w:rsidRPr="00366C16">
              <w:rPr>
                <w:rFonts w:ascii="Times New Roman" w:hAnsi="Times New Roman"/>
                <w:sz w:val="23"/>
                <w:szCs w:val="23"/>
              </w:rPr>
              <w:t>plačiakakčius</w:t>
            </w:r>
            <w:proofErr w:type="spellEnd"/>
            <w:r w:rsidRPr="00366C16">
              <w:rPr>
                <w:rFonts w:ascii="Times New Roman" w:hAnsi="Times New Roman"/>
                <w:sz w:val="23"/>
                <w:szCs w:val="23"/>
              </w:rPr>
              <w:t>, šamus, lynus ir ungurius;</w:t>
            </w:r>
          </w:p>
          <w:p w14:paraId="3F249638" w14:textId="77777777" w:rsidR="00366C16" w:rsidRPr="00366C16" w:rsidRDefault="00366C16" w:rsidP="00366C16">
            <w:pPr>
              <w:spacing w:after="0" w:line="240" w:lineRule="auto"/>
              <w:jc w:val="both"/>
              <w:rPr>
                <w:rFonts w:ascii="Times New Roman" w:hAnsi="Times New Roman"/>
                <w:color w:val="000000"/>
                <w:sz w:val="23"/>
                <w:szCs w:val="23"/>
              </w:rPr>
            </w:pPr>
            <w:r w:rsidRPr="00366C16">
              <w:rPr>
                <w:rFonts w:ascii="Times New Roman" w:hAnsi="Times New Roman"/>
                <w:color w:val="000000"/>
                <w:sz w:val="23"/>
                <w:szCs w:val="23"/>
              </w:rPr>
              <w:t xml:space="preserve">            * verslo plano VI skyriuje „Informacija apie įmonės veiklos sąnaudas (Eur)” nepateikta informacija apie įmonės sąnaudas 2016-2017 m. laikotarpiu;</w:t>
            </w:r>
          </w:p>
          <w:p w14:paraId="79A3B151" w14:textId="77777777" w:rsidR="00366C16" w:rsidRPr="00366C16" w:rsidRDefault="00366C16" w:rsidP="00366C16">
            <w:pPr>
              <w:spacing w:after="0" w:line="240" w:lineRule="auto"/>
              <w:jc w:val="both"/>
              <w:rPr>
                <w:rFonts w:ascii="Times New Roman" w:hAnsi="Times New Roman"/>
                <w:color w:val="000000"/>
                <w:sz w:val="23"/>
                <w:szCs w:val="23"/>
              </w:rPr>
            </w:pPr>
            <w:r w:rsidRPr="00366C16">
              <w:rPr>
                <w:rFonts w:ascii="Times New Roman" w:hAnsi="Times New Roman"/>
                <w:color w:val="000000"/>
                <w:sz w:val="23"/>
                <w:szCs w:val="23"/>
              </w:rPr>
              <w:t xml:space="preserve">            * verslo plano VII skyriuje „Informacija apie ilgalaikį turtą (Eur)” nepateikta informacija apie ilgalaikio turto įsigijimus ir pardavimus, vertę metų pradžioje ir pabaigoje, sukauptą ir priskaičiuotą nusidėvėjimą 2016-2017 m. laikotarpiu;</w:t>
            </w:r>
          </w:p>
          <w:p w14:paraId="17D65B80" w14:textId="77777777" w:rsidR="00366C16" w:rsidRPr="00366C16" w:rsidRDefault="00366C16" w:rsidP="00366C16">
            <w:pPr>
              <w:spacing w:after="0" w:line="240" w:lineRule="auto"/>
              <w:jc w:val="both"/>
              <w:rPr>
                <w:rFonts w:ascii="Times New Roman" w:hAnsi="Times New Roman"/>
                <w:color w:val="000000"/>
                <w:sz w:val="23"/>
                <w:szCs w:val="23"/>
              </w:rPr>
            </w:pPr>
            <w:r w:rsidRPr="00366C16">
              <w:rPr>
                <w:rFonts w:ascii="Times New Roman" w:hAnsi="Times New Roman"/>
                <w:color w:val="000000"/>
                <w:sz w:val="23"/>
                <w:szCs w:val="23"/>
              </w:rPr>
              <w:t xml:space="preserve">             * verslo plano IX skyriuje „Informacija apie paskolas ir (arba) išperkamąją nuomą (lizingą) (Eur)” nepateikta informacija apie turimas paskolas ir (arba) išperkamąją nuomą, paskolų aptarnavimą ataskaitiniais ir prognoziniais metais, išperkamosios nuomos (lizingo) aptarnavimą ataskaitiniais ir prognoziniais metais;</w:t>
            </w:r>
          </w:p>
          <w:p w14:paraId="158106B5" w14:textId="77777777" w:rsidR="00366C16" w:rsidRPr="00366C16" w:rsidRDefault="00366C16" w:rsidP="00366C16">
            <w:pPr>
              <w:spacing w:after="0" w:line="240" w:lineRule="auto"/>
              <w:jc w:val="both"/>
              <w:rPr>
                <w:rFonts w:ascii="Times New Roman" w:hAnsi="Times New Roman"/>
                <w:color w:val="000000"/>
                <w:sz w:val="23"/>
                <w:szCs w:val="23"/>
              </w:rPr>
            </w:pPr>
            <w:r w:rsidRPr="00366C16">
              <w:rPr>
                <w:rFonts w:ascii="Times New Roman" w:hAnsi="Times New Roman"/>
                <w:color w:val="000000"/>
                <w:sz w:val="23"/>
                <w:szCs w:val="23"/>
              </w:rPr>
              <w:t xml:space="preserve">             * verslo plano X skyriuje „Finansinės ataskaitos” nepateikti 2017 m. duomenys balanso, pelno/nuostolio ir pinigų srautų prognozėse;</w:t>
            </w:r>
          </w:p>
          <w:p w14:paraId="11EB12FE" w14:textId="77777777" w:rsidR="00366C16" w:rsidRPr="00366C16" w:rsidRDefault="00366C16" w:rsidP="00366C16">
            <w:pPr>
              <w:spacing w:after="0" w:line="240" w:lineRule="auto"/>
              <w:jc w:val="both"/>
              <w:rPr>
                <w:rFonts w:ascii="Times New Roman" w:hAnsi="Times New Roman"/>
                <w:color w:val="000000"/>
                <w:sz w:val="23"/>
                <w:szCs w:val="23"/>
              </w:rPr>
            </w:pPr>
            <w:r w:rsidRPr="00366C16">
              <w:rPr>
                <w:rFonts w:ascii="Times New Roman" w:hAnsi="Times New Roman"/>
                <w:color w:val="000000"/>
                <w:sz w:val="23"/>
                <w:szCs w:val="23"/>
              </w:rPr>
              <w:t xml:space="preserve">             * verslo plano XI skyriuje „Informacija apie įmonės ekonominio gyvybingumo rodiklius” nepateikti duomenys apie ekonominio gyvybingumo rodiklių reikšmes 2016-2017 m. laikotarpiu.</w:t>
            </w:r>
          </w:p>
          <w:p w14:paraId="02444776" w14:textId="77777777" w:rsidR="00366C16" w:rsidRPr="00366C16" w:rsidRDefault="00366C16" w:rsidP="00366C16">
            <w:pPr>
              <w:spacing w:after="0" w:line="259" w:lineRule="auto"/>
              <w:jc w:val="both"/>
              <w:rPr>
                <w:rFonts w:ascii="Times New Roman" w:hAnsi="Times New Roman"/>
                <w:sz w:val="23"/>
                <w:szCs w:val="23"/>
              </w:rPr>
            </w:pPr>
            <w:r w:rsidRPr="00366C16">
              <w:rPr>
                <w:rFonts w:ascii="Times New Roman" w:hAnsi="Times New Roman"/>
                <w:sz w:val="23"/>
                <w:szCs w:val="23"/>
              </w:rPr>
              <w:t xml:space="preserve">       Atsižvelgiant į nustatytus neatitikimus, vadovaujantis Administravimo taisyklių 71 punktu, Pareiškėjai 2017 m. rugpjūčio 17 d. buvo išsiųstas Paklausimas, prašant patikslinti finansines prognozes ir susijusią informaciją verslo plane.</w:t>
            </w:r>
          </w:p>
          <w:p w14:paraId="10761B4A" w14:textId="77777777" w:rsidR="00366C16" w:rsidRPr="00366C16" w:rsidRDefault="00366C16" w:rsidP="00366C16">
            <w:pPr>
              <w:spacing w:after="0" w:line="259" w:lineRule="auto"/>
              <w:jc w:val="both"/>
              <w:rPr>
                <w:rFonts w:ascii="Times New Roman" w:hAnsi="Times New Roman"/>
                <w:color w:val="000000"/>
                <w:sz w:val="23"/>
                <w:szCs w:val="23"/>
              </w:rPr>
            </w:pPr>
            <w:r w:rsidRPr="00366C16">
              <w:rPr>
                <w:rFonts w:ascii="Times New Roman" w:hAnsi="Times New Roman"/>
                <w:color w:val="000000"/>
                <w:sz w:val="23"/>
                <w:szCs w:val="23"/>
              </w:rPr>
              <w:t xml:space="preserve">        2017 m. rugpjūčio 31 d. Pareiškėja pateikė prašymą pratęsti informacijos/dokumentų pateikimo terminą (2017 m. rugpjūčio31 d., </w:t>
            </w:r>
            <w:proofErr w:type="spellStart"/>
            <w:r w:rsidRPr="00366C16">
              <w:rPr>
                <w:rFonts w:ascii="Times New Roman" w:hAnsi="Times New Roman"/>
                <w:color w:val="000000"/>
                <w:sz w:val="23"/>
                <w:szCs w:val="23"/>
              </w:rPr>
              <w:t>reg</w:t>
            </w:r>
            <w:proofErr w:type="spellEnd"/>
            <w:r w:rsidRPr="00366C16">
              <w:rPr>
                <w:rFonts w:ascii="Times New Roman" w:hAnsi="Times New Roman"/>
                <w:color w:val="000000"/>
                <w:sz w:val="23"/>
                <w:szCs w:val="23"/>
              </w:rPr>
              <w:t xml:space="preserve">. Nr. BR5.2-11898) iki 2017 m. rugsėjo 8 d. bei 2017 m. rugsėjo 11 d. pateikė prašymą pratęsti informacijos/dokumentų pateikimo terminą (2017 m. rugsėjo 11 d., </w:t>
            </w:r>
            <w:proofErr w:type="spellStart"/>
            <w:r w:rsidRPr="00366C16">
              <w:rPr>
                <w:rFonts w:ascii="Times New Roman" w:hAnsi="Times New Roman"/>
                <w:color w:val="000000"/>
                <w:sz w:val="23"/>
                <w:szCs w:val="23"/>
              </w:rPr>
              <w:t>reg</w:t>
            </w:r>
            <w:proofErr w:type="spellEnd"/>
            <w:r w:rsidRPr="00366C16">
              <w:rPr>
                <w:rFonts w:ascii="Times New Roman" w:hAnsi="Times New Roman"/>
                <w:color w:val="000000"/>
                <w:sz w:val="23"/>
                <w:szCs w:val="23"/>
              </w:rPr>
              <w:t xml:space="preserve">. Nr. BR5.2-12286) iki 2017 m. rugsėjo 13 d., tačiau per nustatytą laiką Pareiškėja nepateikė prašomos informacijos ir dokumentų, todėl </w:t>
            </w:r>
            <w:r w:rsidRPr="00366C16">
              <w:rPr>
                <w:rFonts w:ascii="Times New Roman" w:hAnsi="Times New Roman"/>
                <w:sz w:val="23"/>
                <w:szCs w:val="23"/>
              </w:rPr>
              <w:t xml:space="preserve">vadovaujantis Administravimo taisyklių 71 punktu, kuriame nurodyta, jog per pranešime nustatytą laiką, ne </w:t>
            </w:r>
            <w:r w:rsidRPr="00366C16">
              <w:rPr>
                <w:rFonts w:ascii="Times New Roman" w:hAnsi="Times New Roman"/>
                <w:sz w:val="23"/>
                <w:szCs w:val="23"/>
              </w:rPr>
              <w:lastRenderedPageBreak/>
              <w:t xml:space="preserve">trumpesnį kaip 5 darbo dienos, negavus prašomų duomenų, siunčiamas pakartotinis pranešimas, 2017 m. rugsėjo 20 d. Pareiškėjai buvo išsiųstas Paklausimas Nr. 2, pakartotinai prašant </w:t>
            </w:r>
            <w:r w:rsidRPr="00366C16">
              <w:rPr>
                <w:rFonts w:ascii="Times New Roman" w:hAnsi="Times New Roman"/>
                <w:color w:val="000000"/>
                <w:sz w:val="23"/>
                <w:szCs w:val="23"/>
              </w:rPr>
              <w:t xml:space="preserve">patikslinti finansines prognozes ir susijusią informaciją verslo plane.      </w:t>
            </w:r>
          </w:p>
          <w:p w14:paraId="1E0199D0" w14:textId="77777777" w:rsidR="00366C16" w:rsidRPr="00366C16" w:rsidRDefault="00366C16" w:rsidP="00366C16">
            <w:pPr>
              <w:spacing w:after="0" w:line="259" w:lineRule="auto"/>
              <w:jc w:val="both"/>
              <w:rPr>
                <w:rFonts w:ascii="Times New Roman" w:hAnsi="Times New Roman"/>
                <w:color w:val="000000"/>
                <w:sz w:val="23"/>
                <w:szCs w:val="23"/>
              </w:rPr>
            </w:pPr>
            <w:r w:rsidRPr="00366C16">
              <w:rPr>
                <w:rFonts w:ascii="Times New Roman" w:hAnsi="Times New Roman"/>
                <w:color w:val="000000"/>
                <w:sz w:val="23"/>
                <w:szCs w:val="23"/>
              </w:rPr>
              <w:t xml:space="preserve">      Pareiškėja 2017 m. spalio 9 d. atsakydama į Paklausimą Nr. 2 (</w:t>
            </w:r>
            <w:proofErr w:type="spellStart"/>
            <w:r w:rsidRPr="00366C16">
              <w:rPr>
                <w:rFonts w:ascii="Times New Roman" w:hAnsi="Times New Roman"/>
                <w:color w:val="000000"/>
                <w:sz w:val="23"/>
                <w:szCs w:val="23"/>
              </w:rPr>
              <w:t>reg</w:t>
            </w:r>
            <w:proofErr w:type="spellEnd"/>
            <w:r w:rsidRPr="00366C16">
              <w:rPr>
                <w:rFonts w:ascii="Times New Roman" w:hAnsi="Times New Roman"/>
                <w:color w:val="000000"/>
                <w:sz w:val="23"/>
                <w:szCs w:val="23"/>
              </w:rPr>
              <w:t>. Nr. BR5.2-13738), nepatikslino visos prašomos informacijos finansinėse prognozėse ir verslo plane, todėl atsižvelgiant į tai, Pareiškėjai 2017 m. lapkričio 3 d. buvo išsiųstas</w:t>
            </w:r>
            <w:r w:rsidRPr="00366C16">
              <w:rPr>
                <w:rFonts w:ascii="Times New Roman" w:hAnsi="Times New Roman"/>
                <w:sz w:val="23"/>
                <w:szCs w:val="23"/>
              </w:rPr>
              <w:t xml:space="preserve"> Paklausimas Nr. 3, pakartotinai prašant </w:t>
            </w:r>
            <w:r w:rsidRPr="00366C16">
              <w:rPr>
                <w:rFonts w:ascii="Times New Roman" w:hAnsi="Times New Roman"/>
                <w:color w:val="000000"/>
                <w:sz w:val="23"/>
                <w:szCs w:val="23"/>
              </w:rPr>
              <w:t xml:space="preserve">patikslinti finansines prognozes ir susijusią informaciją verslo plane.      </w:t>
            </w:r>
          </w:p>
          <w:p w14:paraId="3E768652" w14:textId="77777777" w:rsidR="00366C16" w:rsidRPr="00366C16" w:rsidRDefault="00366C16" w:rsidP="00366C16">
            <w:pPr>
              <w:spacing w:after="0" w:line="259" w:lineRule="auto"/>
              <w:jc w:val="both"/>
              <w:rPr>
                <w:rFonts w:ascii="Times New Roman" w:hAnsi="Times New Roman"/>
                <w:color w:val="000000"/>
                <w:sz w:val="23"/>
                <w:szCs w:val="23"/>
              </w:rPr>
            </w:pPr>
            <w:r w:rsidRPr="00366C16">
              <w:rPr>
                <w:rFonts w:ascii="Times New Roman" w:hAnsi="Times New Roman"/>
                <w:color w:val="000000"/>
                <w:sz w:val="23"/>
                <w:szCs w:val="23"/>
              </w:rPr>
              <w:t xml:space="preserve">       Per nustatytą laiką Pareiškėja nepateikė prašomos informacijos ir dokumentų, todėl </w:t>
            </w:r>
            <w:r w:rsidRPr="00366C16">
              <w:rPr>
                <w:rFonts w:ascii="Times New Roman" w:hAnsi="Times New Roman"/>
                <w:sz w:val="23"/>
                <w:szCs w:val="23"/>
              </w:rPr>
              <w:t xml:space="preserve">vadovaujantis Administravimo taisyklių 71 punktu2017 m. lapkričio 17 d. Pareiškėjai buvo išsiųstas Paklausimas Nr. 4, pakartotinai prašant </w:t>
            </w:r>
            <w:r w:rsidRPr="00366C16">
              <w:rPr>
                <w:rFonts w:ascii="Times New Roman" w:hAnsi="Times New Roman"/>
                <w:color w:val="000000"/>
                <w:sz w:val="23"/>
                <w:szCs w:val="23"/>
              </w:rPr>
              <w:t xml:space="preserve">patikslinti finansines prognozes ir susijusią informaciją verslo plane.      </w:t>
            </w:r>
          </w:p>
          <w:p w14:paraId="640BD5BF" w14:textId="77777777" w:rsidR="00366C16" w:rsidRPr="00366C16" w:rsidRDefault="00366C16" w:rsidP="00366C16">
            <w:pPr>
              <w:spacing w:after="0" w:line="259" w:lineRule="auto"/>
              <w:jc w:val="both"/>
              <w:rPr>
                <w:rFonts w:ascii="Times New Roman" w:hAnsi="Times New Roman"/>
                <w:color w:val="000000"/>
                <w:sz w:val="23"/>
                <w:szCs w:val="23"/>
              </w:rPr>
            </w:pPr>
            <w:r w:rsidRPr="00366C16">
              <w:rPr>
                <w:rFonts w:ascii="Times New Roman" w:hAnsi="Times New Roman"/>
                <w:sz w:val="23"/>
                <w:szCs w:val="23"/>
              </w:rPr>
              <w:t xml:space="preserve">        Atsakydama į  Paklausimą Nr.4 Pareiškėja nepatikslino  informacijos </w:t>
            </w:r>
            <w:r w:rsidRPr="00366C16">
              <w:rPr>
                <w:rFonts w:ascii="Times New Roman" w:hAnsi="Times New Roman"/>
                <w:bCs/>
                <w:sz w:val="23"/>
                <w:szCs w:val="23"/>
              </w:rPr>
              <w:t xml:space="preserve">verslo plano V skyriuje „Informacija apie produkcijos gamybą ir pardavimus“ </w:t>
            </w:r>
            <w:r w:rsidRPr="00366C16">
              <w:rPr>
                <w:rFonts w:ascii="Times New Roman" w:hAnsi="Times New Roman"/>
                <w:color w:val="000000"/>
                <w:sz w:val="23"/>
                <w:szCs w:val="23"/>
              </w:rPr>
              <w:t>apie produkcijos rūšis, pagamintos  ir parduotos produkcijos kiekius ir kainą 2016-2017 m. laikotarpiu bei nepateikė detalios informacijos apie planuojamos  gaminti ir parduoti produkcijos rūšis  2018-2025 m. laikotarpiu, verslo plano VI skyriuje „Informacija apie įmonės veiklos sąnaudas (Eur)“ apie įmonės sąnaudas 2016-2017 m. laikotarpiu, verslo plano VII skyriuje „Informacija apie ilgalaikį turtą (Eur)“ apie ilgalaikio turto įsigijimus ir pardavimus, vertę metų pradžioje ir pabaigoje, sukauptą ir priskaičiuotą nusidėvėjimą 2016-2017 m. laikotarpiu, bei verslo plano XI skyriuje „Informacija apie įmonės ekonominio gyvybingumo rodiklius“ nepateikė duomenų apie ekonominio gyvybingumo rodiklių reikšmes 2016 m. laikotarpiu.</w:t>
            </w:r>
          </w:p>
          <w:p w14:paraId="3513F80C" w14:textId="77777777" w:rsidR="00366C16" w:rsidRPr="00366C16" w:rsidRDefault="00366C16" w:rsidP="00366C16">
            <w:pPr>
              <w:spacing w:after="0" w:line="259" w:lineRule="auto"/>
              <w:jc w:val="both"/>
              <w:rPr>
                <w:rFonts w:ascii="Times New Roman" w:hAnsi="Times New Roman"/>
                <w:color w:val="000000"/>
                <w:sz w:val="23"/>
                <w:szCs w:val="23"/>
              </w:rPr>
            </w:pPr>
            <w:r w:rsidRPr="00366C16">
              <w:rPr>
                <w:rFonts w:ascii="Times New Roman" w:hAnsi="Times New Roman"/>
                <w:color w:val="000000"/>
                <w:sz w:val="23"/>
                <w:szCs w:val="23"/>
              </w:rPr>
              <w:t xml:space="preserve">       Atsižvelgiant į tai, jog </w:t>
            </w:r>
            <w:r w:rsidRPr="00366C16">
              <w:rPr>
                <w:rFonts w:ascii="Times New Roman" w:hAnsi="Times New Roman"/>
                <w:sz w:val="23"/>
                <w:szCs w:val="23"/>
              </w:rPr>
              <w:t xml:space="preserve">Pareiškėja nepatikslino  informacijos </w:t>
            </w:r>
            <w:r w:rsidRPr="00366C16">
              <w:rPr>
                <w:rFonts w:ascii="Times New Roman" w:hAnsi="Times New Roman"/>
                <w:bCs/>
                <w:sz w:val="23"/>
                <w:szCs w:val="23"/>
              </w:rPr>
              <w:t xml:space="preserve">verslo plano V skyriuje „Informacija apie produkcijos gamybą ir pardavimus“ </w:t>
            </w:r>
            <w:r w:rsidRPr="00366C16">
              <w:rPr>
                <w:rFonts w:ascii="Times New Roman" w:hAnsi="Times New Roman"/>
                <w:color w:val="000000"/>
                <w:sz w:val="23"/>
                <w:szCs w:val="23"/>
              </w:rPr>
              <w:t xml:space="preserve">apie produkcijos rūšis, pagamintos  ir parduotos produkcijos kiekius ir kainą 2016-2017 m. laikotarpiu bei nepateikė detalios informacijos apie planuojamos  gaminti ir parduoti produkcijos rūšis  2018-2025 m. laikotarpiu, verslo plano VI skyriuje „Informacija apie įmonės veiklos sąnaudas (Eur)“ apie įmonės sąnaudas 2016-2017 m. laikotarpiu, verslo plano VII skyriuje „Informacija apie ilgalaikį turtą (Eur)“ apie ilgalaikio turto įsigijimus ir pardavimus, vertę metų pradžioje ir pabaigoje, sukauptą ir priskaičiuotą nusidėvėjimą 2016-2017 m. laikotarpiu bei verslo plano XI skyriuje „Informacija apie įmonės ekonominio gyvybingumo rodiklius“ nepateikė duomenys apie ekonominio gyvybingumo rodiklių reikšmes 2016 m. laikotarpiu, </w:t>
            </w:r>
            <w:r w:rsidRPr="00366C16">
              <w:rPr>
                <w:rFonts w:ascii="Times New Roman" w:hAnsi="Times New Roman"/>
                <w:bCs/>
                <w:sz w:val="23"/>
                <w:szCs w:val="23"/>
              </w:rPr>
              <w:t>kartu su paramos paraiška pateiktas verslo planas nėra parengtas pagal Taisyklių 2 priede nustatytą formą  ir todėl projektas neatitinka Taisyklių 25 punkte nurodyto tinkamumo</w:t>
            </w:r>
            <w:r w:rsidRPr="00366C16">
              <w:rPr>
                <w:rFonts w:ascii="Times New Roman" w:hAnsi="Times New Roman"/>
                <w:sz w:val="23"/>
                <w:szCs w:val="23"/>
              </w:rPr>
              <w:t xml:space="preserve"> kriterijaus paramai gauti.</w:t>
            </w:r>
          </w:p>
          <w:p w14:paraId="5A1FC145" w14:textId="77777777" w:rsidR="00366C16" w:rsidRPr="00366C16" w:rsidRDefault="00366C16" w:rsidP="00366C16">
            <w:pPr>
              <w:spacing w:after="0" w:line="259" w:lineRule="auto"/>
              <w:jc w:val="both"/>
              <w:rPr>
                <w:rFonts w:ascii="Times New Roman" w:hAnsi="Times New Roman"/>
                <w:color w:val="000000"/>
                <w:sz w:val="23"/>
                <w:szCs w:val="23"/>
              </w:rPr>
            </w:pPr>
            <w:r w:rsidRPr="00366C16">
              <w:rPr>
                <w:rFonts w:ascii="Times New Roman" w:hAnsi="Times New Roman"/>
                <w:bCs/>
                <w:sz w:val="23"/>
                <w:szCs w:val="23"/>
              </w:rPr>
              <w:t xml:space="preserve">       3</w:t>
            </w:r>
            <w:r w:rsidRPr="00366C16">
              <w:rPr>
                <w:rFonts w:ascii="Times New Roman" w:hAnsi="Times New Roman"/>
                <w:i/>
                <w:color w:val="000000"/>
                <w:sz w:val="23"/>
                <w:szCs w:val="23"/>
              </w:rPr>
              <w:t xml:space="preserve">. </w:t>
            </w:r>
            <w:r w:rsidRPr="00366C16">
              <w:rPr>
                <w:rFonts w:ascii="Times New Roman" w:hAnsi="Times New Roman"/>
                <w:color w:val="000000"/>
                <w:sz w:val="23"/>
                <w:szCs w:val="23"/>
              </w:rPr>
              <w:t xml:space="preserve">Taisyklių 26 punkte nurodyta, jog  pareiškėjas, teikdamas paramos paraišką, turi įrodyti, kad jis atitinka ir projekto įgyvendinimo metu bei projekto kontrolės laikotarpiu prognozuojami ekonominio gyvybingumo rodikliai atitinka ekonominio gyvybingumo kriterijus, nustatytus Ūkio subjektų, siekiančių pasinaudoti parama pagal Lietuvos žuvininkystės sektoriaus 2014–2020 metų veiksmų programos priemones, ekonominio gyvybingumo nustatymo taisyklėse, patvirtintose Lietuvos Respublikos žemės ūkio ministro 2015 m. lapkričio </w:t>
            </w:r>
            <w:r w:rsidRPr="00366C16">
              <w:rPr>
                <w:rFonts w:ascii="Times New Roman" w:hAnsi="Times New Roman"/>
                <w:color w:val="000000"/>
                <w:sz w:val="23"/>
                <w:szCs w:val="23"/>
              </w:rPr>
              <w:lastRenderedPageBreak/>
              <w:t>24 d. įsakymu Nr. 3D-864 „Dėl Ūkio subjektų, siekiančių pasinaudoti parama pagal Lietuvos žuvininkystės sektoriaus 2014–2020 metų veiksmų programos priemones, ekonominio gyvybingumo nustatymo taisyklių patvirtinimo” (toliau – Ekonominio gyvybingumo taisyklės).</w:t>
            </w:r>
          </w:p>
          <w:p w14:paraId="0F4656E6" w14:textId="77777777" w:rsidR="00366C16" w:rsidRPr="00366C16" w:rsidRDefault="00366C16" w:rsidP="00366C16">
            <w:pPr>
              <w:spacing w:after="0" w:line="259" w:lineRule="auto"/>
              <w:jc w:val="both"/>
              <w:rPr>
                <w:rFonts w:ascii="Times New Roman" w:hAnsi="Times New Roman"/>
                <w:color w:val="000000"/>
                <w:sz w:val="23"/>
                <w:szCs w:val="23"/>
              </w:rPr>
            </w:pPr>
            <w:r w:rsidRPr="00366C16">
              <w:rPr>
                <w:rFonts w:ascii="Times New Roman" w:hAnsi="Times New Roman"/>
                <w:color w:val="000000"/>
                <w:sz w:val="23"/>
                <w:szCs w:val="23"/>
              </w:rPr>
              <w:t xml:space="preserve">      </w:t>
            </w:r>
            <w:r w:rsidRPr="00366C16">
              <w:rPr>
                <w:rFonts w:ascii="Times New Roman" w:hAnsi="Times New Roman"/>
                <w:bCs/>
                <w:sz w:val="23"/>
                <w:szCs w:val="23"/>
              </w:rPr>
              <w:t xml:space="preserve">Ekonominio gyvybingumo taisyklių </w:t>
            </w:r>
            <w:r w:rsidRPr="00366C16">
              <w:rPr>
                <w:rFonts w:ascii="Times New Roman" w:hAnsi="Times New Roman"/>
                <w:sz w:val="23"/>
                <w:szCs w:val="23"/>
              </w:rPr>
              <w:t>16 punkte nustatyta, jog ūkio subjektams, kurie pripažinti neatitinkančiais ekonominio gyvybingumo tinkamumo kriterijaus dėl 15 punkte nurodytų priežasčių, ekonominį gyvybingumą apibūdinantys rodikliai neskaičiuojami. Ekonominio gyvybingumo taisyklių 15.2 papunktyje punkte nurodyta, jog ūkio subjektai laikomi netinkamais finansinei paramai gauti, kaip neatitinkantys ekonominio gyvybingumo (tinkamumo) kriterijaus, jei po gauto atsakymo į Nacionalinės mokėjimo agentūros prie Žemės ūkio ministerijos paklausimą:</w:t>
            </w:r>
          </w:p>
          <w:p w14:paraId="18807F70" w14:textId="77777777" w:rsidR="00366C16" w:rsidRPr="00366C16" w:rsidRDefault="00366C16" w:rsidP="00366C16">
            <w:pPr>
              <w:spacing w:after="0" w:line="259" w:lineRule="auto"/>
              <w:ind w:firstLine="709"/>
              <w:jc w:val="both"/>
              <w:rPr>
                <w:rFonts w:ascii="Times New Roman" w:hAnsi="Times New Roman"/>
                <w:sz w:val="23"/>
                <w:szCs w:val="23"/>
              </w:rPr>
            </w:pPr>
            <w:r w:rsidRPr="00366C16">
              <w:rPr>
                <w:rFonts w:ascii="Times New Roman" w:hAnsi="Times New Roman"/>
                <w:sz w:val="23"/>
                <w:szCs w:val="23"/>
              </w:rPr>
              <w:t>15.2.1. planuojamojo laikotarpio metais finansinės atskaitomybės ataskaitose pateikiama informacija tarpusavyje nesusieta;</w:t>
            </w:r>
          </w:p>
          <w:p w14:paraId="14A5A2EA" w14:textId="77777777" w:rsidR="00366C16" w:rsidRPr="00366C16" w:rsidRDefault="00366C16" w:rsidP="00366C16">
            <w:pPr>
              <w:spacing w:after="0" w:line="259" w:lineRule="auto"/>
              <w:jc w:val="both"/>
              <w:rPr>
                <w:rFonts w:ascii="Times New Roman" w:hAnsi="Times New Roman"/>
                <w:sz w:val="23"/>
                <w:szCs w:val="23"/>
              </w:rPr>
            </w:pPr>
            <w:r w:rsidRPr="00366C16">
              <w:rPr>
                <w:rFonts w:ascii="Times New Roman" w:hAnsi="Times New Roman"/>
                <w:sz w:val="23"/>
                <w:szCs w:val="23"/>
              </w:rPr>
              <w:t xml:space="preserve">             Vertinimo metu nustatyta, jog:</w:t>
            </w:r>
          </w:p>
          <w:p w14:paraId="31679977" w14:textId="77777777" w:rsidR="00366C16" w:rsidRPr="00366C16" w:rsidRDefault="00366C16" w:rsidP="00366C16">
            <w:pPr>
              <w:spacing w:after="0" w:line="259" w:lineRule="auto"/>
              <w:jc w:val="both"/>
              <w:rPr>
                <w:rFonts w:ascii="Times New Roman" w:hAnsi="Times New Roman"/>
                <w:sz w:val="23"/>
                <w:szCs w:val="23"/>
              </w:rPr>
            </w:pPr>
            <w:r w:rsidRPr="00366C16">
              <w:rPr>
                <w:rFonts w:ascii="Times New Roman" w:hAnsi="Times New Roman"/>
                <w:sz w:val="23"/>
                <w:szCs w:val="23"/>
              </w:rPr>
              <w:t xml:space="preserve">              * Pareiškėja planuoja projektą finansuoti paskolos lėšomis, tačiau pinigų srautų prognozėse neapskaitytas paskolos grąžinimas ir sumokėtos palūkanos;</w:t>
            </w:r>
          </w:p>
          <w:p w14:paraId="6E773562" w14:textId="77777777" w:rsidR="00366C16" w:rsidRPr="00366C16" w:rsidRDefault="00366C16" w:rsidP="00366C16">
            <w:pPr>
              <w:spacing w:after="0" w:line="259" w:lineRule="auto"/>
              <w:jc w:val="both"/>
              <w:rPr>
                <w:rFonts w:ascii="Times New Roman" w:hAnsi="Times New Roman"/>
                <w:sz w:val="23"/>
                <w:szCs w:val="23"/>
              </w:rPr>
            </w:pPr>
            <w:r w:rsidRPr="00366C16">
              <w:rPr>
                <w:rFonts w:ascii="Times New Roman" w:hAnsi="Times New Roman"/>
                <w:sz w:val="23"/>
                <w:szCs w:val="23"/>
              </w:rPr>
              <w:t xml:space="preserve">              * Pinigų srautų prognozėse nekorektiškai apskaitytos nusidėvėjimo ir amortizacijos sąnaudų sumos pamečiui, t. y. apskaitytos nusidėvėjimo ir amortizacijos sąnaudų sumos neįvertinus ES paramos nusidėvėjimo;</w:t>
            </w:r>
          </w:p>
          <w:p w14:paraId="6E47D18E" w14:textId="77777777" w:rsidR="00366C16" w:rsidRPr="00366C16" w:rsidRDefault="00366C16" w:rsidP="00366C16">
            <w:pPr>
              <w:spacing w:after="0" w:line="259" w:lineRule="auto"/>
              <w:jc w:val="both"/>
              <w:rPr>
                <w:rFonts w:ascii="Times New Roman" w:hAnsi="Times New Roman"/>
                <w:sz w:val="23"/>
                <w:szCs w:val="23"/>
              </w:rPr>
            </w:pPr>
            <w:r w:rsidRPr="00366C16">
              <w:rPr>
                <w:rFonts w:ascii="Times New Roman" w:hAnsi="Times New Roman"/>
                <w:sz w:val="23"/>
                <w:szCs w:val="23"/>
              </w:rPr>
              <w:t xml:space="preserve">              * Pinigų srautų prognozėse neapskaityta planuojamos gauti paramos suma;</w:t>
            </w:r>
          </w:p>
          <w:p w14:paraId="543F3696" w14:textId="77777777" w:rsidR="00366C16" w:rsidRPr="00366C16" w:rsidRDefault="00366C16" w:rsidP="00366C16">
            <w:pPr>
              <w:spacing w:after="0" w:line="259" w:lineRule="auto"/>
              <w:jc w:val="both"/>
              <w:rPr>
                <w:rFonts w:ascii="Times New Roman" w:hAnsi="Times New Roman"/>
                <w:sz w:val="23"/>
                <w:szCs w:val="23"/>
              </w:rPr>
            </w:pPr>
            <w:r w:rsidRPr="00366C16">
              <w:rPr>
                <w:rFonts w:ascii="Times New Roman" w:hAnsi="Times New Roman"/>
                <w:sz w:val="23"/>
                <w:szCs w:val="23"/>
              </w:rPr>
              <w:t xml:space="preserve">              * Balanso prognozėse nėra apskaitomas biologinis turtas;</w:t>
            </w:r>
          </w:p>
          <w:p w14:paraId="181DF807" w14:textId="77777777" w:rsidR="00366C16" w:rsidRPr="00366C16" w:rsidRDefault="00366C16" w:rsidP="00366C16">
            <w:pPr>
              <w:spacing w:after="0" w:line="259" w:lineRule="auto"/>
              <w:jc w:val="both"/>
              <w:rPr>
                <w:rFonts w:ascii="Times New Roman" w:hAnsi="Times New Roman"/>
                <w:sz w:val="23"/>
                <w:szCs w:val="23"/>
              </w:rPr>
            </w:pPr>
            <w:r w:rsidRPr="00366C16">
              <w:rPr>
                <w:rFonts w:ascii="Times New Roman" w:hAnsi="Times New Roman"/>
                <w:sz w:val="23"/>
                <w:szCs w:val="23"/>
              </w:rPr>
              <w:t xml:space="preserve">              * Balanso, pelno/nuostolio ir pinigų srautų prognozėse nėra pateikti 2017 m. duomenys;</w:t>
            </w:r>
          </w:p>
          <w:p w14:paraId="50C0EEB9" w14:textId="77777777" w:rsidR="00366C16" w:rsidRPr="00366C16" w:rsidRDefault="00366C16" w:rsidP="00366C16">
            <w:pPr>
              <w:tabs>
                <w:tab w:val="left" w:pos="-540"/>
              </w:tabs>
              <w:spacing w:after="0" w:line="259" w:lineRule="auto"/>
              <w:ind w:firstLine="626"/>
              <w:jc w:val="both"/>
              <w:rPr>
                <w:rFonts w:ascii="Times New Roman" w:hAnsi="Times New Roman"/>
                <w:color w:val="000000"/>
                <w:sz w:val="23"/>
                <w:szCs w:val="23"/>
              </w:rPr>
            </w:pPr>
            <w:r w:rsidRPr="00366C16">
              <w:rPr>
                <w:rFonts w:ascii="Times New Roman" w:hAnsi="Times New Roman"/>
                <w:sz w:val="23"/>
                <w:szCs w:val="23"/>
              </w:rPr>
              <w:t xml:space="preserve">   * Pinigų srautų ataskaitos </w:t>
            </w:r>
            <w:r w:rsidRPr="00366C16">
              <w:rPr>
                <w:rFonts w:ascii="Times New Roman" w:hAnsi="Times New Roman"/>
                <w:color w:val="000000"/>
                <w:sz w:val="23"/>
                <w:szCs w:val="23"/>
              </w:rPr>
              <w:t xml:space="preserve">eilutėje „Grynieji pagrindinės veiklos pinigų srautai” Pareiškėja 2017-2020 m. laikotarpiu apskaito tik 94 767 Eur grynųjų pagrindinės veiklos pinigų srautų sumą, kai tuo tarpu projekto finansavimui planuoja panaudoti 203 342,21 Eur iš veiklos gautinų lėšų sumą.  </w:t>
            </w:r>
          </w:p>
          <w:p w14:paraId="1493024E" w14:textId="77777777" w:rsidR="00366C16" w:rsidRPr="00366C16" w:rsidRDefault="00366C16" w:rsidP="00366C16">
            <w:pPr>
              <w:tabs>
                <w:tab w:val="left" w:pos="-540"/>
              </w:tabs>
              <w:spacing w:after="0" w:line="259" w:lineRule="auto"/>
              <w:jc w:val="both"/>
              <w:rPr>
                <w:rFonts w:ascii="Times New Roman" w:hAnsi="Times New Roman"/>
                <w:color w:val="000000"/>
                <w:sz w:val="23"/>
                <w:szCs w:val="23"/>
              </w:rPr>
            </w:pPr>
            <w:r w:rsidRPr="00366C16">
              <w:rPr>
                <w:rFonts w:ascii="Times New Roman" w:hAnsi="Times New Roman"/>
                <w:color w:val="000000"/>
                <w:sz w:val="23"/>
                <w:szCs w:val="23"/>
              </w:rPr>
              <w:t xml:space="preserve">       </w:t>
            </w:r>
            <w:r w:rsidRPr="00366C16">
              <w:rPr>
                <w:rFonts w:ascii="Times New Roman" w:hAnsi="Times New Roman"/>
                <w:sz w:val="23"/>
                <w:szCs w:val="23"/>
              </w:rPr>
              <w:t>Atsižvelgiant į nustatytus neatitikimus, vadovaujantis Administravimo taisyklių 71 punktu, Pareiškėjai 2017 m. rugpjūčio 17 d. buvo išsiųstas Paklausimas, prašant patikslinti finansines prognozes ir susijusią informaciją verslo plane bei perskaičiuoti ekonominio gyvybingumo rodiklius.</w:t>
            </w:r>
          </w:p>
          <w:p w14:paraId="66CC2EAB" w14:textId="77777777" w:rsidR="00366C16" w:rsidRPr="00366C16" w:rsidRDefault="00366C16" w:rsidP="00366C16">
            <w:pPr>
              <w:spacing w:after="0" w:line="259" w:lineRule="auto"/>
              <w:jc w:val="both"/>
              <w:rPr>
                <w:rFonts w:ascii="Times New Roman" w:hAnsi="Times New Roman"/>
                <w:color w:val="000000"/>
                <w:sz w:val="23"/>
                <w:szCs w:val="23"/>
              </w:rPr>
            </w:pPr>
            <w:r w:rsidRPr="00366C16">
              <w:rPr>
                <w:rFonts w:ascii="Times New Roman" w:hAnsi="Times New Roman"/>
                <w:color w:val="000000"/>
                <w:sz w:val="23"/>
                <w:szCs w:val="23"/>
              </w:rPr>
              <w:t xml:space="preserve">        2017 m. rugpjūčio 31 d. Pareiškėja pateikė prašymą pratęsti informacijos/dokumentų pateikimo terminą (2017 m. rugpjūčio 31 d., </w:t>
            </w:r>
            <w:proofErr w:type="spellStart"/>
            <w:r w:rsidRPr="00366C16">
              <w:rPr>
                <w:rFonts w:ascii="Times New Roman" w:hAnsi="Times New Roman"/>
                <w:color w:val="000000"/>
                <w:sz w:val="23"/>
                <w:szCs w:val="23"/>
              </w:rPr>
              <w:t>reg</w:t>
            </w:r>
            <w:proofErr w:type="spellEnd"/>
            <w:r w:rsidRPr="00366C16">
              <w:rPr>
                <w:rFonts w:ascii="Times New Roman" w:hAnsi="Times New Roman"/>
                <w:color w:val="000000"/>
                <w:sz w:val="23"/>
                <w:szCs w:val="23"/>
              </w:rPr>
              <w:t xml:space="preserve">. Nr. BR5.2-11898) iki 2017 m. rugsėjo 8 d. bei 2017 m. rugsėjo 11 d. pateikė prašymą pratęsti informacijos/dokumentų pateikimo terminą (2017 m. rugsėjo 11 d., </w:t>
            </w:r>
            <w:proofErr w:type="spellStart"/>
            <w:r w:rsidRPr="00366C16">
              <w:rPr>
                <w:rFonts w:ascii="Times New Roman" w:hAnsi="Times New Roman"/>
                <w:color w:val="000000"/>
                <w:sz w:val="23"/>
                <w:szCs w:val="23"/>
              </w:rPr>
              <w:t>reg</w:t>
            </w:r>
            <w:proofErr w:type="spellEnd"/>
            <w:r w:rsidRPr="00366C16">
              <w:rPr>
                <w:rFonts w:ascii="Times New Roman" w:hAnsi="Times New Roman"/>
                <w:color w:val="000000"/>
                <w:sz w:val="23"/>
                <w:szCs w:val="23"/>
              </w:rPr>
              <w:t xml:space="preserve">. Nr. BR5.2-12286) iki 2017 m. rugsėjo 13 d., tačiau per nustatytą laiką Pareiškėja nepateikė prašomos informacijos ir dokumentų, todėl </w:t>
            </w:r>
            <w:r w:rsidRPr="00366C16">
              <w:rPr>
                <w:rFonts w:ascii="Times New Roman" w:hAnsi="Times New Roman"/>
                <w:sz w:val="23"/>
                <w:szCs w:val="23"/>
              </w:rPr>
              <w:t xml:space="preserve">vadovaujantis Administravimo taisyklių 71 punktu, 2017 m. rugsėjo 20 d. Pareiškėjai buvo išsiųstas Paklausimas Nr. 2, pakartotinai prašant </w:t>
            </w:r>
            <w:r w:rsidRPr="00366C16">
              <w:rPr>
                <w:rFonts w:ascii="Times New Roman" w:hAnsi="Times New Roman"/>
                <w:color w:val="000000"/>
                <w:sz w:val="23"/>
                <w:szCs w:val="23"/>
              </w:rPr>
              <w:t xml:space="preserve">patikslinti finansines prognozes ir susijusią informaciją verslo plane bei </w:t>
            </w:r>
            <w:r w:rsidRPr="00366C16">
              <w:rPr>
                <w:rFonts w:ascii="Times New Roman" w:hAnsi="Times New Roman"/>
                <w:sz w:val="23"/>
                <w:szCs w:val="23"/>
              </w:rPr>
              <w:t>perskaičiuoti ekonominio gyvybingumo rodiklius</w:t>
            </w:r>
            <w:r w:rsidRPr="00366C16">
              <w:rPr>
                <w:rFonts w:ascii="Times New Roman" w:hAnsi="Times New Roman"/>
                <w:color w:val="000000"/>
                <w:sz w:val="23"/>
                <w:szCs w:val="23"/>
              </w:rPr>
              <w:t xml:space="preserve">.      </w:t>
            </w:r>
          </w:p>
          <w:p w14:paraId="42274923" w14:textId="77777777" w:rsidR="00366C16" w:rsidRPr="00366C16" w:rsidRDefault="00366C16" w:rsidP="00366C16">
            <w:pPr>
              <w:spacing w:after="0" w:line="259" w:lineRule="auto"/>
              <w:jc w:val="both"/>
              <w:rPr>
                <w:rFonts w:ascii="Times New Roman" w:hAnsi="Times New Roman"/>
                <w:color w:val="000000"/>
                <w:sz w:val="23"/>
                <w:szCs w:val="23"/>
              </w:rPr>
            </w:pPr>
            <w:r w:rsidRPr="00366C16">
              <w:rPr>
                <w:rFonts w:ascii="Times New Roman" w:hAnsi="Times New Roman"/>
                <w:color w:val="000000"/>
                <w:sz w:val="23"/>
                <w:szCs w:val="23"/>
              </w:rPr>
              <w:t xml:space="preserve">        Pareiškėja 2017 m. spalio 9 d. atsakydama į Paklausimą Nr. 2 (</w:t>
            </w:r>
            <w:proofErr w:type="spellStart"/>
            <w:r w:rsidRPr="00366C16">
              <w:rPr>
                <w:rFonts w:ascii="Times New Roman" w:hAnsi="Times New Roman"/>
                <w:color w:val="000000"/>
                <w:sz w:val="23"/>
                <w:szCs w:val="23"/>
              </w:rPr>
              <w:t>reg</w:t>
            </w:r>
            <w:proofErr w:type="spellEnd"/>
            <w:r w:rsidRPr="00366C16">
              <w:rPr>
                <w:rFonts w:ascii="Times New Roman" w:hAnsi="Times New Roman"/>
                <w:color w:val="000000"/>
                <w:sz w:val="23"/>
                <w:szCs w:val="23"/>
              </w:rPr>
              <w:t xml:space="preserve">. Nr. BR5.2-13738), nepatikslino visos prašomos informacijos finansinėse prognozėse ir verslo plane, todėl atsižvelgiant į tai, Pareiškėjai 2017 m. </w:t>
            </w:r>
            <w:r w:rsidRPr="00366C16">
              <w:rPr>
                <w:rFonts w:ascii="Times New Roman" w:hAnsi="Times New Roman"/>
                <w:color w:val="000000"/>
                <w:sz w:val="23"/>
                <w:szCs w:val="23"/>
              </w:rPr>
              <w:lastRenderedPageBreak/>
              <w:t>lapkričio 3 d. buvo išsiųstas</w:t>
            </w:r>
            <w:r w:rsidRPr="00366C16">
              <w:rPr>
                <w:rFonts w:ascii="Times New Roman" w:hAnsi="Times New Roman"/>
                <w:sz w:val="23"/>
                <w:szCs w:val="23"/>
              </w:rPr>
              <w:t xml:space="preserve"> Paklausimas Nr. 3, pakartotinai prašant </w:t>
            </w:r>
            <w:r w:rsidRPr="00366C16">
              <w:rPr>
                <w:rFonts w:ascii="Times New Roman" w:hAnsi="Times New Roman"/>
                <w:color w:val="000000"/>
                <w:sz w:val="23"/>
                <w:szCs w:val="23"/>
              </w:rPr>
              <w:t>patikslinti finansines prognozes ir susijusią informaciją verslo plane bei</w:t>
            </w:r>
            <w:r w:rsidRPr="00366C16">
              <w:rPr>
                <w:rFonts w:ascii="Times New Roman" w:hAnsi="Times New Roman"/>
                <w:sz w:val="23"/>
                <w:szCs w:val="23"/>
              </w:rPr>
              <w:t xml:space="preserve"> perskaičiuoti ekonominio gyvybingumo rodiklius.</w:t>
            </w:r>
            <w:r w:rsidRPr="00366C16">
              <w:rPr>
                <w:rFonts w:ascii="Times New Roman" w:hAnsi="Times New Roman"/>
                <w:color w:val="000000"/>
                <w:sz w:val="23"/>
                <w:szCs w:val="23"/>
              </w:rPr>
              <w:t xml:space="preserve">      </w:t>
            </w:r>
          </w:p>
          <w:p w14:paraId="782D9695" w14:textId="77777777" w:rsidR="00366C16" w:rsidRPr="00366C16" w:rsidRDefault="00366C16" w:rsidP="00366C16">
            <w:pPr>
              <w:spacing w:after="0" w:line="259" w:lineRule="auto"/>
              <w:jc w:val="both"/>
              <w:rPr>
                <w:rFonts w:ascii="Times New Roman" w:hAnsi="Times New Roman"/>
                <w:color w:val="000000"/>
                <w:sz w:val="23"/>
                <w:szCs w:val="23"/>
              </w:rPr>
            </w:pPr>
            <w:r w:rsidRPr="00366C16">
              <w:rPr>
                <w:rFonts w:ascii="Times New Roman" w:hAnsi="Times New Roman"/>
                <w:color w:val="000000"/>
                <w:sz w:val="23"/>
                <w:szCs w:val="23"/>
              </w:rPr>
              <w:t xml:space="preserve">       Per nustatytą laiką Pareiškėja nepateikė prašomos informacijos ir dokumentų, todėl </w:t>
            </w:r>
            <w:r w:rsidRPr="00366C16">
              <w:rPr>
                <w:rFonts w:ascii="Times New Roman" w:hAnsi="Times New Roman"/>
                <w:sz w:val="23"/>
                <w:szCs w:val="23"/>
              </w:rPr>
              <w:t xml:space="preserve">vadovaujantis Administravimo taisyklių 71 punktu, 2017 m. lapkričio 17 d. Pareiškėjai buvo išsiųstas Paklausimas Nr. 4, pakartotinai prašant </w:t>
            </w:r>
            <w:r w:rsidRPr="00366C16">
              <w:rPr>
                <w:rFonts w:ascii="Times New Roman" w:hAnsi="Times New Roman"/>
                <w:color w:val="000000"/>
                <w:sz w:val="23"/>
                <w:szCs w:val="23"/>
              </w:rPr>
              <w:t xml:space="preserve">patikslinti finansines prognozes ir susijusią informaciją verslo plane.      </w:t>
            </w:r>
          </w:p>
          <w:p w14:paraId="07F6CE4A" w14:textId="77777777" w:rsidR="00366C16" w:rsidRPr="00366C16" w:rsidRDefault="00366C16" w:rsidP="00366C16">
            <w:pPr>
              <w:tabs>
                <w:tab w:val="left" w:pos="-540"/>
              </w:tabs>
              <w:spacing w:after="0" w:line="259" w:lineRule="auto"/>
              <w:jc w:val="both"/>
              <w:rPr>
                <w:rFonts w:ascii="Times New Roman" w:hAnsi="Times New Roman"/>
                <w:sz w:val="23"/>
                <w:szCs w:val="23"/>
              </w:rPr>
            </w:pPr>
            <w:r w:rsidRPr="00366C16">
              <w:rPr>
                <w:rFonts w:ascii="Times New Roman" w:hAnsi="Times New Roman"/>
                <w:sz w:val="23"/>
                <w:szCs w:val="23"/>
              </w:rPr>
              <w:t xml:space="preserve">      Atsakydama į Paklausimą Nr.4 Pareiškėja pateikė patikslintas finansines prognozes ir perskaičiuotus ekonominio gyvybingumo rodiklius, tačiau vertinimo</w:t>
            </w:r>
            <w:r w:rsidRPr="00366C16">
              <w:rPr>
                <w:rFonts w:ascii="Times New Roman" w:hAnsi="Times New Roman"/>
                <w:snapToGrid w:val="0"/>
                <w:sz w:val="23"/>
                <w:szCs w:val="23"/>
              </w:rPr>
              <w:t xml:space="preserve"> metu nustatyta, kad </w:t>
            </w:r>
            <w:r w:rsidRPr="00366C16">
              <w:rPr>
                <w:rFonts w:ascii="Times New Roman" w:hAnsi="Times New Roman"/>
                <w:sz w:val="23"/>
                <w:szCs w:val="23"/>
              </w:rPr>
              <w:t>jog pateiktose patikslintose finansinėse prognozėse ir verslo plane pateikta informacija tarpusavyje</w:t>
            </w:r>
            <w:r w:rsidRPr="00366C16">
              <w:rPr>
                <w:rFonts w:ascii="Times New Roman" w:hAnsi="Times New Roman"/>
                <w:snapToGrid w:val="0"/>
                <w:sz w:val="23"/>
                <w:szCs w:val="23"/>
              </w:rPr>
              <w:t xml:space="preserve"> nesusieta ir todėl </w:t>
            </w:r>
            <w:r w:rsidRPr="00366C16">
              <w:rPr>
                <w:rFonts w:ascii="Times New Roman" w:hAnsi="Times New Roman"/>
                <w:sz w:val="23"/>
                <w:szCs w:val="23"/>
              </w:rPr>
              <w:t>pateiktame verslo plane Pareiškėja neįrodo, jog atitinka ir ateityje atitiks ekonominio gyvybingumo rodiklius:</w:t>
            </w:r>
          </w:p>
          <w:p w14:paraId="22549F9D" w14:textId="77777777" w:rsidR="00366C16" w:rsidRPr="00366C16" w:rsidRDefault="00366C16" w:rsidP="00366C16">
            <w:pPr>
              <w:tabs>
                <w:tab w:val="left" w:pos="-540"/>
              </w:tabs>
              <w:spacing w:after="0" w:line="259" w:lineRule="auto"/>
              <w:ind w:firstLine="626"/>
              <w:jc w:val="both"/>
              <w:rPr>
                <w:rFonts w:ascii="Times New Roman" w:hAnsi="Times New Roman"/>
                <w:sz w:val="23"/>
                <w:szCs w:val="23"/>
              </w:rPr>
            </w:pPr>
            <w:r w:rsidRPr="00366C16">
              <w:rPr>
                <w:rFonts w:ascii="Times New Roman" w:hAnsi="Times New Roman"/>
                <w:sz w:val="23"/>
                <w:szCs w:val="23"/>
              </w:rPr>
              <w:t>* Verslo plano X skyriaus „Finansinės ataskaitos” lentelės „Pinigų srautų prognozės” eilutėje „Pirkėjų įsiskolinimo padidėjimas (sumažėjimas)” neteisingai apskaitytas pirkėjų įsiskolinimo pokytis (</w:t>
            </w:r>
            <w:proofErr w:type="spellStart"/>
            <w:r w:rsidRPr="00366C16">
              <w:rPr>
                <w:rFonts w:ascii="Times New Roman" w:hAnsi="Times New Roman"/>
                <w:sz w:val="23"/>
                <w:szCs w:val="23"/>
              </w:rPr>
              <w:t>t.y</w:t>
            </w:r>
            <w:proofErr w:type="spellEnd"/>
            <w:r w:rsidRPr="00366C16">
              <w:rPr>
                <w:rFonts w:ascii="Times New Roman" w:hAnsi="Times New Roman"/>
                <w:sz w:val="23"/>
                <w:szCs w:val="23"/>
              </w:rPr>
              <w:t xml:space="preserve">. balanso prognozių eilutėje „Pirkėjų įsiskolinimas” 2016 m. apskaityta 781 Eur ir atitinkamai 2017 m. 130 651 Eur, 2020 m.  47 742, 2022 m. 10 000 Eur ir 2025 m. 116 856 Eur pirkėjų įsiskolinimo suma bei neapskaityti pirkėjų įsiskolinimai 2017 m., 2019 m., 2021 m., 2023 m. ir 2024 m., tačiau pinigų srautų prognozių eilutėje „ Pirkėjų įsiskolinimo padidėjimas (+), sumažėjimas (-)” 2016 m. apskaityta 781 Eur ir atitinkamai 2019 m. 11 447 Eur, 2020 m.  (- 10 185) Eur, 2021 m. (- 30 485) Eur, 2022 m. (-5 185) Eur, 2023 m. (-45 861) Eur, 2024 m. (-3 845) Eur ir 2025 m.  (-20 000) pirkėjų įsiskolinimo pokyčių Eur suma; </w:t>
            </w:r>
          </w:p>
          <w:p w14:paraId="237BFC64" w14:textId="77777777" w:rsidR="00366C16" w:rsidRPr="00366C16" w:rsidRDefault="00366C16" w:rsidP="00366C16">
            <w:pPr>
              <w:tabs>
                <w:tab w:val="left" w:pos="-540"/>
              </w:tabs>
              <w:spacing w:after="0" w:line="259" w:lineRule="auto"/>
              <w:ind w:firstLine="626"/>
              <w:jc w:val="both"/>
              <w:rPr>
                <w:rFonts w:ascii="Times New Roman" w:hAnsi="Times New Roman"/>
                <w:sz w:val="23"/>
                <w:szCs w:val="23"/>
              </w:rPr>
            </w:pPr>
            <w:r w:rsidRPr="00366C16">
              <w:rPr>
                <w:rFonts w:ascii="Times New Roman" w:hAnsi="Times New Roman"/>
                <w:sz w:val="23"/>
                <w:szCs w:val="23"/>
              </w:rPr>
              <w:t>* Verslo plano X skyriaus „Finansinės ataskaitos” lentelėje „Pinigų srautų prognozės” neapskaitoma paramos suma;</w:t>
            </w:r>
          </w:p>
          <w:p w14:paraId="668E3E33" w14:textId="77777777" w:rsidR="00366C16" w:rsidRPr="00366C16" w:rsidRDefault="00366C16" w:rsidP="00366C16">
            <w:pPr>
              <w:tabs>
                <w:tab w:val="left" w:pos="-540"/>
              </w:tabs>
              <w:spacing w:after="0" w:line="259" w:lineRule="auto"/>
              <w:ind w:firstLine="626"/>
              <w:jc w:val="both"/>
              <w:rPr>
                <w:rFonts w:ascii="Times New Roman" w:hAnsi="Times New Roman"/>
                <w:sz w:val="23"/>
                <w:szCs w:val="23"/>
              </w:rPr>
            </w:pPr>
            <w:r w:rsidRPr="00366C16">
              <w:rPr>
                <w:rFonts w:ascii="Times New Roman" w:hAnsi="Times New Roman"/>
                <w:sz w:val="23"/>
                <w:szCs w:val="23"/>
              </w:rPr>
              <w:t>* Verslo plano  X skyriaus „Finansinės ataskaitos“ lentelės „Pinigų srautų prognozės“ eilutėje „Paskolų gavimas“ neapskaitomas paskolų gavimas, kai tuo tarpu verslo plano IX skyriaus „Informacija apie paskolas ir (arba) išperkamąją nuimą (lizingą) (Eur)“ 2 lentelės „Paskolų aptarnavimas (Eur)“ 2 punkte „Investicinės paskolos paėmimas“ apskaitoma 480 000 Eur paskolos suma, o X skyriaus „Finansinės ataskaitos“ lentelės  „Balanso prognozės“ eilutėje „Finansinės skolos kredito įstaigoms“ 2018 m. apskaitoma 480 000 Eur paskolos suma;</w:t>
            </w:r>
          </w:p>
          <w:p w14:paraId="79F51B5E" w14:textId="77777777" w:rsidR="00366C16" w:rsidRPr="00366C16" w:rsidRDefault="00366C16" w:rsidP="00366C16">
            <w:pPr>
              <w:tabs>
                <w:tab w:val="left" w:pos="-540"/>
              </w:tabs>
              <w:spacing w:after="0" w:line="259" w:lineRule="auto"/>
              <w:ind w:firstLine="626"/>
              <w:jc w:val="both"/>
              <w:rPr>
                <w:rFonts w:ascii="Times New Roman" w:hAnsi="Times New Roman"/>
                <w:sz w:val="23"/>
                <w:szCs w:val="23"/>
              </w:rPr>
            </w:pPr>
            <w:r w:rsidRPr="00366C16">
              <w:rPr>
                <w:rFonts w:ascii="Times New Roman" w:hAnsi="Times New Roman"/>
                <w:sz w:val="23"/>
                <w:szCs w:val="23"/>
              </w:rPr>
              <w:t>*</w:t>
            </w:r>
            <w:r w:rsidRPr="00366C16" w:rsidDel="00214567">
              <w:rPr>
                <w:rFonts w:ascii="Times New Roman" w:hAnsi="Times New Roman"/>
                <w:sz w:val="23"/>
                <w:szCs w:val="23"/>
              </w:rPr>
              <w:t xml:space="preserve"> </w:t>
            </w:r>
            <w:r w:rsidRPr="00366C16">
              <w:rPr>
                <w:rFonts w:ascii="Times New Roman" w:hAnsi="Times New Roman"/>
                <w:sz w:val="23"/>
                <w:szCs w:val="23"/>
              </w:rPr>
              <w:t>Verslo plano VI skyriaus „Informacija apie ūkio subjekto veiklos sąnaudas, Eur” lentelėje apskaitytas ES paramos nusidėvėjimas nesutampa su verslo plano X skyriaus „Finansinės ataskaitos” lentelės „Balanso prognozės” eilutėje „Dotacijos, subsidijos” apskaitytu dotacijų pokyčiu (</w:t>
            </w:r>
            <w:proofErr w:type="spellStart"/>
            <w:r w:rsidRPr="00366C16">
              <w:rPr>
                <w:rFonts w:ascii="Times New Roman" w:hAnsi="Times New Roman"/>
                <w:sz w:val="23"/>
                <w:szCs w:val="23"/>
              </w:rPr>
              <w:t>t.y</w:t>
            </w:r>
            <w:proofErr w:type="spellEnd"/>
            <w:r w:rsidRPr="00366C16">
              <w:rPr>
                <w:rFonts w:ascii="Times New Roman" w:hAnsi="Times New Roman"/>
                <w:sz w:val="23"/>
                <w:szCs w:val="23"/>
              </w:rPr>
              <w:t>. X skyriaus „Finansinės ataskaitos” lentelės „Balanso prognozės” eilutėje „Dotacijos, subsidijos” 2018 m.  apskaityta 221 448 Eur, atitinkamai 2019 m. 335 528 Eur ir 2020 m. 320 242 Eur dotacijų pokyčio suma, tačiau verslo VI skyriaus „Informacija apie ūkio subjekto veiklos sąnaudas, Eur” lentelėje 2018 m. apskaityta 30 207 Eur, atitinkamai 2019 m. 50 836 Eur ir 2020 m. 55 915 Eur ES paramos nusidėvėjimo suma;</w:t>
            </w:r>
          </w:p>
          <w:p w14:paraId="4B27D41E" w14:textId="77777777" w:rsidR="00366C16" w:rsidRPr="00366C16" w:rsidRDefault="00366C16" w:rsidP="00366C16">
            <w:pPr>
              <w:tabs>
                <w:tab w:val="left" w:pos="-540"/>
              </w:tabs>
              <w:spacing w:after="0" w:line="259" w:lineRule="auto"/>
              <w:ind w:firstLine="626"/>
              <w:jc w:val="both"/>
              <w:rPr>
                <w:rFonts w:ascii="Times New Roman" w:hAnsi="Times New Roman"/>
                <w:sz w:val="23"/>
                <w:szCs w:val="23"/>
              </w:rPr>
            </w:pPr>
            <w:r w:rsidRPr="00366C16">
              <w:rPr>
                <w:rFonts w:ascii="Times New Roman" w:hAnsi="Times New Roman"/>
                <w:sz w:val="23"/>
                <w:szCs w:val="23"/>
              </w:rPr>
              <w:t>* Verslo plano VII skyriuje „Informacija apie įmonės veiklos sąnaudas” nėra pateikta informacija apie ilgalaikio turto nusidėvėjimą 2016-2017 m. laikotarpiu;</w:t>
            </w:r>
          </w:p>
          <w:p w14:paraId="52015D30" w14:textId="77777777" w:rsidR="00366C16" w:rsidRPr="00366C16" w:rsidRDefault="00366C16" w:rsidP="00366C16">
            <w:pPr>
              <w:spacing w:after="0" w:line="259" w:lineRule="auto"/>
              <w:jc w:val="both"/>
              <w:rPr>
                <w:rFonts w:ascii="Times New Roman" w:hAnsi="Times New Roman"/>
                <w:sz w:val="23"/>
                <w:szCs w:val="23"/>
              </w:rPr>
            </w:pPr>
            <w:r w:rsidRPr="00366C16">
              <w:rPr>
                <w:rFonts w:ascii="Times New Roman" w:hAnsi="Times New Roman"/>
                <w:sz w:val="23"/>
                <w:szCs w:val="23"/>
              </w:rPr>
              <w:lastRenderedPageBreak/>
              <w:t xml:space="preserve">            * Verslo plano V skyriuje „Informacija apie produkcijos gamybą ir pardavimus” nėra pateikta informacija apie produkcijos gamybą/paslaugų teikimą ir pardavimus 2016-2019 m. laikotarpiu;</w:t>
            </w:r>
          </w:p>
          <w:p w14:paraId="1960CF8F" w14:textId="77777777" w:rsidR="00366C16" w:rsidRPr="00366C16" w:rsidRDefault="00366C16" w:rsidP="00366C16">
            <w:pPr>
              <w:spacing w:after="0" w:line="259" w:lineRule="auto"/>
              <w:jc w:val="both"/>
              <w:rPr>
                <w:rFonts w:ascii="Times New Roman" w:hAnsi="Times New Roman"/>
                <w:sz w:val="23"/>
                <w:szCs w:val="23"/>
              </w:rPr>
            </w:pPr>
            <w:r w:rsidRPr="00366C16">
              <w:rPr>
                <w:rFonts w:ascii="Times New Roman" w:hAnsi="Times New Roman"/>
                <w:sz w:val="23"/>
                <w:szCs w:val="23"/>
              </w:rPr>
              <w:t xml:space="preserve">            * Verslo plano VI skyriuje „Informacija apie įmonės veiklos sąnaudas” nėra pateikta informacija apie veiklos sąnaudas 2016-2017 m. laikotarpiu;</w:t>
            </w:r>
          </w:p>
          <w:p w14:paraId="3207619D" w14:textId="77777777" w:rsidR="00366C16" w:rsidRPr="00366C16" w:rsidRDefault="00366C16" w:rsidP="00366C16">
            <w:pPr>
              <w:spacing w:after="0" w:line="259" w:lineRule="auto"/>
              <w:jc w:val="both"/>
              <w:rPr>
                <w:rFonts w:ascii="Times New Roman" w:hAnsi="Times New Roman"/>
                <w:sz w:val="23"/>
                <w:szCs w:val="23"/>
              </w:rPr>
            </w:pPr>
            <w:r w:rsidRPr="00366C16">
              <w:rPr>
                <w:rFonts w:ascii="Times New Roman" w:hAnsi="Times New Roman"/>
                <w:sz w:val="23"/>
                <w:szCs w:val="23"/>
              </w:rPr>
              <w:t xml:space="preserve">            * Verslo plano VIII skyriuje „Informacija apie ilgalaikį turtą” nėra pateikta informacija apie ilgalaikio turto įsigijimus, pardavimus bei nurašymus, sukauptą ir priskaičiuotą nusidėvėjimą ir turto likutinę vertę 2016-2017 m. laikotarpiu.</w:t>
            </w:r>
            <w:r w:rsidRPr="00366C16">
              <w:rPr>
                <w:rFonts w:ascii="Times New Roman" w:hAnsi="Times New Roman"/>
                <w:color w:val="000000"/>
                <w:sz w:val="23"/>
                <w:szCs w:val="23"/>
              </w:rPr>
              <w:t xml:space="preserve"> </w:t>
            </w:r>
          </w:p>
          <w:p w14:paraId="60389482" w14:textId="77777777" w:rsidR="00366C16" w:rsidRPr="00366C16" w:rsidRDefault="00366C16" w:rsidP="00366C16">
            <w:pPr>
              <w:spacing w:after="0" w:line="259" w:lineRule="auto"/>
              <w:jc w:val="both"/>
              <w:rPr>
                <w:rFonts w:ascii="Times New Roman" w:hAnsi="Times New Roman"/>
                <w:sz w:val="23"/>
                <w:szCs w:val="23"/>
              </w:rPr>
            </w:pPr>
            <w:r w:rsidRPr="00366C16">
              <w:rPr>
                <w:rFonts w:ascii="Times New Roman" w:hAnsi="Times New Roman"/>
                <w:sz w:val="23"/>
                <w:szCs w:val="23"/>
              </w:rPr>
              <w:t xml:space="preserve">      Atsižvelgiant į tai, jog kartu su paraiška pateiktame verslo plane Pareiškėja neįrodo, jog atitinka ir ateityje atitiks ekonominio gyvybingumo rodiklius, taip pat atsižvelgiant į tai, kad Pareiškėja neužtikrino tinkamo projekto finansavimo ir neištaisė nustatytų neatitikimų po Agentūros pateiktų  Paklausimų Nr.1, Nr.2, Nr.3 ir Nr.4,  nustatyta, jog  planuojamo laikotarpio pinigų srautų prognozėse nurodyti duomenys  apie pirkėjų įsiskolinimą nesusieti su planuojamo laikotarpio balanso prognozių  duomenimis apie pirkėjų įsiskolinimą bei į tai, jog balanso prognozėse nurodyti duomenys apie finansines skolas kredito įstaigoms  nesusieti su duomenimis pinigų srautų prognozėse apie gautas paskolas ir dėl to   </w:t>
            </w:r>
            <w:r w:rsidRPr="00366C16">
              <w:rPr>
                <w:rFonts w:ascii="Times New Roman" w:hAnsi="Times New Roman"/>
                <w:sz w:val="23"/>
                <w:szCs w:val="23"/>
                <w:shd w:val="clear" w:color="auto" w:fill="FFFFFF"/>
              </w:rPr>
              <w:t>2016 metais ir  2017 metais finansinės atskaitomybės ataskaitose pateikiama informacija tarpusavyje nesusieta</w:t>
            </w:r>
            <w:r w:rsidRPr="00366C16">
              <w:rPr>
                <w:rFonts w:ascii="Times New Roman" w:hAnsi="Times New Roman"/>
                <w:sz w:val="23"/>
                <w:szCs w:val="23"/>
              </w:rPr>
              <w:t>, Pareiškėja neatitinka  Ekonominio gyvybingumo taisyklių 15.2.1 papunktyje nurodytos nuostatos, todėl remiantis Ekonominio gyvybingumo taisyklių 16 punktu ekonominio gyvybingumo rodikliai neskaičiuojami,  kas sąlygoja, kad Pareiškėja  taip pat neatitinka ir Taisyklių 26 punkte nurodyto tinkamumo kriterijaus paramai gauti.</w:t>
            </w:r>
          </w:p>
          <w:p w14:paraId="21FAE8C7" w14:textId="77777777" w:rsidR="003D2715" w:rsidRPr="00366C16" w:rsidRDefault="003D2715" w:rsidP="00BC4470">
            <w:pPr>
              <w:spacing w:after="0"/>
              <w:ind w:firstLine="425"/>
              <w:jc w:val="both"/>
              <w:rPr>
                <w:rFonts w:ascii="Times New Roman" w:hAnsi="Times New Roman"/>
                <w:bCs/>
              </w:rPr>
            </w:pPr>
          </w:p>
        </w:tc>
      </w:tr>
    </w:tbl>
    <w:p w14:paraId="6F13E764" w14:textId="77777777" w:rsidR="0006205F" w:rsidRPr="00366C16" w:rsidRDefault="0006205F" w:rsidP="0006205F">
      <w:pPr>
        <w:spacing w:after="0" w:line="240" w:lineRule="auto"/>
        <w:ind w:right="-1021" w:firstLine="709"/>
        <w:jc w:val="both"/>
        <w:rPr>
          <w:rFonts w:ascii="Times New Roman" w:hAnsi="Times New Roman"/>
          <w:sz w:val="23"/>
          <w:szCs w:val="23"/>
        </w:rPr>
      </w:pPr>
    </w:p>
    <w:p w14:paraId="69A0E282" w14:textId="77777777" w:rsidR="0006205F" w:rsidRPr="00366C16" w:rsidRDefault="0006205F" w:rsidP="0006205F">
      <w:pPr>
        <w:spacing w:after="0" w:line="240" w:lineRule="auto"/>
        <w:ind w:right="-1021" w:firstLine="709"/>
        <w:jc w:val="both"/>
        <w:rPr>
          <w:rFonts w:ascii="Times New Roman" w:hAnsi="Times New Roman"/>
          <w:sz w:val="23"/>
          <w:szCs w:val="23"/>
        </w:rPr>
      </w:pPr>
      <w:r w:rsidRPr="00366C16">
        <w:rPr>
          <w:rFonts w:ascii="Times New Roman" w:hAnsi="Times New Roman"/>
          <w:sz w:val="23"/>
          <w:szCs w:val="23"/>
        </w:rPr>
        <w:t>Šis sprendimas gali būti skundžiamas Lietuvos Respublikos administracinių ginčų komisijų įstatymo nustatyta tvarka administracinių ginčų komisijai arba Lietuvos Respublikos administracinių bylų teisenos įstatymo nustatyta tvarka administraciniam teismui.</w:t>
      </w:r>
    </w:p>
    <w:p w14:paraId="5C1E86BE" w14:textId="77777777" w:rsidR="0006205F" w:rsidRPr="00366C16" w:rsidRDefault="0006205F" w:rsidP="0006205F">
      <w:pPr>
        <w:ind w:right="-1023"/>
        <w:jc w:val="center"/>
        <w:rPr>
          <w:rFonts w:ascii="Times New Roman" w:hAnsi="Times New Roman"/>
          <w:sz w:val="23"/>
          <w:szCs w:val="23"/>
        </w:rPr>
      </w:pPr>
      <w:r w:rsidRPr="00366C16">
        <w:rPr>
          <w:rFonts w:ascii="Times New Roman" w:hAnsi="Times New Roman"/>
          <w:sz w:val="23"/>
          <w:szCs w:val="23"/>
        </w:rPr>
        <w:t>__________________________________________</w:t>
      </w:r>
    </w:p>
    <w:p w14:paraId="22656806" w14:textId="3BF7A7EA" w:rsidR="00691A19" w:rsidRPr="00366C16" w:rsidRDefault="00691A19" w:rsidP="0006205F"/>
    <w:sectPr w:rsidR="00691A19" w:rsidRPr="00366C16" w:rsidSect="00930A2A">
      <w:headerReference w:type="default" r:id="rId8"/>
      <w:pgSz w:w="16838" w:h="11906" w:orient="landscape"/>
      <w:pgMar w:top="85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DF083F" w14:textId="77777777" w:rsidR="00650608" w:rsidRDefault="00650608" w:rsidP="007C202D">
      <w:pPr>
        <w:spacing w:after="0" w:line="240" w:lineRule="auto"/>
      </w:pPr>
      <w:r>
        <w:separator/>
      </w:r>
    </w:p>
  </w:endnote>
  <w:endnote w:type="continuationSeparator" w:id="0">
    <w:p w14:paraId="3CC692C4" w14:textId="77777777" w:rsidR="00650608" w:rsidRDefault="00650608" w:rsidP="007C2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E309C5" w14:textId="77777777" w:rsidR="00650608" w:rsidRDefault="00650608" w:rsidP="007C202D">
      <w:pPr>
        <w:spacing w:after="0" w:line="240" w:lineRule="auto"/>
      </w:pPr>
      <w:r>
        <w:separator/>
      </w:r>
    </w:p>
  </w:footnote>
  <w:footnote w:type="continuationSeparator" w:id="0">
    <w:p w14:paraId="2054800E" w14:textId="77777777" w:rsidR="00650608" w:rsidRDefault="00650608" w:rsidP="007C20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5680D" w14:textId="77777777" w:rsidR="007C202D" w:rsidRDefault="007C202D">
    <w:pPr>
      <w:pStyle w:val="Antrats"/>
      <w:jc w:val="center"/>
    </w:pPr>
    <w:r>
      <w:fldChar w:fldCharType="begin"/>
    </w:r>
    <w:r>
      <w:instrText xml:space="preserve"> PAGE   \* MERGEFORMAT </w:instrText>
    </w:r>
    <w:r>
      <w:fldChar w:fldCharType="separate"/>
    </w:r>
    <w:r w:rsidR="0026355D">
      <w:rPr>
        <w:noProof/>
      </w:rPr>
      <w:t>3</w:t>
    </w:r>
    <w:r>
      <w:fldChar w:fldCharType="end"/>
    </w:r>
  </w:p>
  <w:p w14:paraId="2265680E" w14:textId="77777777" w:rsidR="007C202D" w:rsidRDefault="007C202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F1F59"/>
    <w:multiLevelType w:val="hybridMultilevel"/>
    <w:tmpl w:val="4CD629BC"/>
    <w:lvl w:ilvl="0" w:tplc="58A8C258">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7450E5B"/>
    <w:multiLevelType w:val="hybridMultilevel"/>
    <w:tmpl w:val="6DF85FA6"/>
    <w:lvl w:ilvl="0" w:tplc="E74E299A">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B371C63"/>
    <w:multiLevelType w:val="hybridMultilevel"/>
    <w:tmpl w:val="4776E6A2"/>
    <w:lvl w:ilvl="0" w:tplc="F9027C68">
      <w:numFmt w:val="bullet"/>
      <w:lvlText w:val="-"/>
      <w:lvlJc w:val="left"/>
      <w:pPr>
        <w:ind w:left="404" w:hanging="360"/>
      </w:pPr>
      <w:rPr>
        <w:rFonts w:ascii="Times New Roman" w:eastAsia="Times New Roman" w:hAnsi="Times New Roman" w:cs="Times New Roman" w:hint="default"/>
      </w:rPr>
    </w:lvl>
    <w:lvl w:ilvl="1" w:tplc="04270003">
      <w:start w:val="1"/>
      <w:numFmt w:val="bullet"/>
      <w:lvlText w:val="o"/>
      <w:lvlJc w:val="left"/>
      <w:pPr>
        <w:ind w:left="1124" w:hanging="360"/>
      </w:pPr>
      <w:rPr>
        <w:rFonts w:ascii="Courier New" w:hAnsi="Courier New" w:cs="Courier New" w:hint="default"/>
      </w:rPr>
    </w:lvl>
    <w:lvl w:ilvl="2" w:tplc="04270005">
      <w:start w:val="1"/>
      <w:numFmt w:val="bullet"/>
      <w:lvlText w:val=""/>
      <w:lvlJc w:val="left"/>
      <w:pPr>
        <w:ind w:left="1844" w:hanging="360"/>
      </w:pPr>
      <w:rPr>
        <w:rFonts w:ascii="Wingdings" w:hAnsi="Wingdings" w:hint="default"/>
      </w:rPr>
    </w:lvl>
    <w:lvl w:ilvl="3" w:tplc="04270001">
      <w:start w:val="1"/>
      <w:numFmt w:val="bullet"/>
      <w:lvlText w:val=""/>
      <w:lvlJc w:val="left"/>
      <w:pPr>
        <w:ind w:left="2564" w:hanging="360"/>
      </w:pPr>
      <w:rPr>
        <w:rFonts w:ascii="Symbol" w:hAnsi="Symbol" w:hint="default"/>
      </w:rPr>
    </w:lvl>
    <w:lvl w:ilvl="4" w:tplc="04270003">
      <w:start w:val="1"/>
      <w:numFmt w:val="bullet"/>
      <w:lvlText w:val="o"/>
      <w:lvlJc w:val="left"/>
      <w:pPr>
        <w:ind w:left="3284" w:hanging="360"/>
      </w:pPr>
      <w:rPr>
        <w:rFonts w:ascii="Courier New" w:hAnsi="Courier New" w:cs="Courier New" w:hint="default"/>
      </w:rPr>
    </w:lvl>
    <w:lvl w:ilvl="5" w:tplc="04270005">
      <w:start w:val="1"/>
      <w:numFmt w:val="bullet"/>
      <w:lvlText w:val=""/>
      <w:lvlJc w:val="left"/>
      <w:pPr>
        <w:ind w:left="4004" w:hanging="360"/>
      </w:pPr>
      <w:rPr>
        <w:rFonts w:ascii="Wingdings" w:hAnsi="Wingdings" w:hint="default"/>
      </w:rPr>
    </w:lvl>
    <w:lvl w:ilvl="6" w:tplc="04270001">
      <w:start w:val="1"/>
      <w:numFmt w:val="bullet"/>
      <w:lvlText w:val=""/>
      <w:lvlJc w:val="left"/>
      <w:pPr>
        <w:ind w:left="4724" w:hanging="360"/>
      </w:pPr>
      <w:rPr>
        <w:rFonts w:ascii="Symbol" w:hAnsi="Symbol" w:hint="default"/>
      </w:rPr>
    </w:lvl>
    <w:lvl w:ilvl="7" w:tplc="04270003">
      <w:start w:val="1"/>
      <w:numFmt w:val="bullet"/>
      <w:lvlText w:val="o"/>
      <w:lvlJc w:val="left"/>
      <w:pPr>
        <w:ind w:left="5444" w:hanging="360"/>
      </w:pPr>
      <w:rPr>
        <w:rFonts w:ascii="Courier New" w:hAnsi="Courier New" w:cs="Courier New" w:hint="default"/>
      </w:rPr>
    </w:lvl>
    <w:lvl w:ilvl="8" w:tplc="04270005">
      <w:start w:val="1"/>
      <w:numFmt w:val="bullet"/>
      <w:lvlText w:val=""/>
      <w:lvlJc w:val="left"/>
      <w:pPr>
        <w:ind w:left="6164" w:hanging="360"/>
      </w:pPr>
      <w:rPr>
        <w:rFonts w:ascii="Wingdings" w:hAnsi="Wingdings" w:hint="default"/>
      </w:rPr>
    </w:lvl>
  </w:abstractNum>
  <w:abstractNum w:abstractNumId="3" w15:restartNumberingAfterBreak="0">
    <w:nsid w:val="7A630DE9"/>
    <w:multiLevelType w:val="hybridMultilevel"/>
    <w:tmpl w:val="5B8094FE"/>
    <w:lvl w:ilvl="0" w:tplc="04270001">
      <w:start w:val="1"/>
      <w:numFmt w:val="bullet"/>
      <w:lvlText w:val=""/>
      <w:lvlJc w:val="left"/>
      <w:pPr>
        <w:ind w:left="1107" w:hanging="360"/>
      </w:pPr>
      <w:rPr>
        <w:rFonts w:ascii="Symbol" w:hAnsi="Symbol" w:hint="default"/>
      </w:rPr>
    </w:lvl>
    <w:lvl w:ilvl="1" w:tplc="04270003" w:tentative="1">
      <w:start w:val="1"/>
      <w:numFmt w:val="bullet"/>
      <w:lvlText w:val="o"/>
      <w:lvlJc w:val="left"/>
      <w:pPr>
        <w:ind w:left="1827" w:hanging="360"/>
      </w:pPr>
      <w:rPr>
        <w:rFonts w:ascii="Courier New" w:hAnsi="Courier New" w:cs="Courier New" w:hint="default"/>
      </w:rPr>
    </w:lvl>
    <w:lvl w:ilvl="2" w:tplc="04270005" w:tentative="1">
      <w:start w:val="1"/>
      <w:numFmt w:val="bullet"/>
      <w:lvlText w:val=""/>
      <w:lvlJc w:val="left"/>
      <w:pPr>
        <w:ind w:left="2547" w:hanging="360"/>
      </w:pPr>
      <w:rPr>
        <w:rFonts w:ascii="Wingdings" w:hAnsi="Wingdings" w:hint="default"/>
      </w:rPr>
    </w:lvl>
    <w:lvl w:ilvl="3" w:tplc="04270001" w:tentative="1">
      <w:start w:val="1"/>
      <w:numFmt w:val="bullet"/>
      <w:lvlText w:val=""/>
      <w:lvlJc w:val="left"/>
      <w:pPr>
        <w:ind w:left="3267" w:hanging="360"/>
      </w:pPr>
      <w:rPr>
        <w:rFonts w:ascii="Symbol" w:hAnsi="Symbol" w:hint="default"/>
      </w:rPr>
    </w:lvl>
    <w:lvl w:ilvl="4" w:tplc="04270003" w:tentative="1">
      <w:start w:val="1"/>
      <w:numFmt w:val="bullet"/>
      <w:lvlText w:val="o"/>
      <w:lvlJc w:val="left"/>
      <w:pPr>
        <w:ind w:left="3987" w:hanging="360"/>
      </w:pPr>
      <w:rPr>
        <w:rFonts w:ascii="Courier New" w:hAnsi="Courier New" w:cs="Courier New" w:hint="default"/>
      </w:rPr>
    </w:lvl>
    <w:lvl w:ilvl="5" w:tplc="04270005" w:tentative="1">
      <w:start w:val="1"/>
      <w:numFmt w:val="bullet"/>
      <w:lvlText w:val=""/>
      <w:lvlJc w:val="left"/>
      <w:pPr>
        <w:ind w:left="4707" w:hanging="360"/>
      </w:pPr>
      <w:rPr>
        <w:rFonts w:ascii="Wingdings" w:hAnsi="Wingdings" w:hint="default"/>
      </w:rPr>
    </w:lvl>
    <w:lvl w:ilvl="6" w:tplc="04270001" w:tentative="1">
      <w:start w:val="1"/>
      <w:numFmt w:val="bullet"/>
      <w:lvlText w:val=""/>
      <w:lvlJc w:val="left"/>
      <w:pPr>
        <w:ind w:left="5427" w:hanging="360"/>
      </w:pPr>
      <w:rPr>
        <w:rFonts w:ascii="Symbol" w:hAnsi="Symbol" w:hint="default"/>
      </w:rPr>
    </w:lvl>
    <w:lvl w:ilvl="7" w:tplc="04270003" w:tentative="1">
      <w:start w:val="1"/>
      <w:numFmt w:val="bullet"/>
      <w:lvlText w:val="o"/>
      <w:lvlJc w:val="left"/>
      <w:pPr>
        <w:ind w:left="6147" w:hanging="360"/>
      </w:pPr>
      <w:rPr>
        <w:rFonts w:ascii="Courier New" w:hAnsi="Courier New" w:cs="Courier New" w:hint="default"/>
      </w:rPr>
    </w:lvl>
    <w:lvl w:ilvl="8" w:tplc="04270005" w:tentative="1">
      <w:start w:val="1"/>
      <w:numFmt w:val="bullet"/>
      <w:lvlText w:val=""/>
      <w:lvlJc w:val="left"/>
      <w:pPr>
        <w:ind w:left="6867"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A19"/>
    <w:rsid w:val="00004831"/>
    <w:rsid w:val="0000798F"/>
    <w:rsid w:val="00014AD1"/>
    <w:rsid w:val="00020AB5"/>
    <w:rsid w:val="0003154C"/>
    <w:rsid w:val="00033043"/>
    <w:rsid w:val="00037C97"/>
    <w:rsid w:val="00042CA7"/>
    <w:rsid w:val="000465AC"/>
    <w:rsid w:val="00052776"/>
    <w:rsid w:val="0006205F"/>
    <w:rsid w:val="00066762"/>
    <w:rsid w:val="0007288C"/>
    <w:rsid w:val="00075E23"/>
    <w:rsid w:val="00077F98"/>
    <w:rsid w:val="00092503"/>
    <w:rsid w:val="000933EA"/>
    <w:rsid w:val="00093F7D"/>
    <w:rsid w:val="0009626B"/>
    <w:rsid w:val="00097CC8"/>
    <w:rsid w:val="000A017E"/>
    <w:rsid w:val="000A6EDA"/>
    <w:rsid w:val="000B2705"/>
    <w:rsid w:val="000B4A4D"/>
    <w:rsid w:val="000B53F5"/>
    <w:rsid w:val="000B6FE2"/>
    <w:rsid w:val="000C096C"/>
    <w:rsid w:val="000C10F6"/>
    <w:rsid w:val="000D0002"/>
    <w:rsid w:val="000D30FD"/>
    <w:rsid w:val="000E45AE"/>
    <w:rsid w:val="000E5B1A"/>
    <w:rsid w:val="000F0765"/>
    <w:rsid w:val="001027D6"/>
    <w:rsid w:val="00103694"/>
    <w:rsid w:val="00111D61"/>
    <w:rsid w:val="001226FA"/>
    <w:rsid w:val="00122EA9"/>
    <w:rsid w:val="001272AE"/>
    <w:rsid w:val="00132610"/>
    <w:rsid w:val="0014017F"/>
    <w:rsid w:val="001405F3"/>
    <w:rsid w:val="001471F5"/>
    <w:rsid w:val="0014796C"/>
    <w:rsid w:val="001521F7"/>
    <w:rsid w:val="00170A81"/>
    <w:rsid w:val="00172724"/>
    <w:rsid w:val="00176C88"/>
    <w:rsid w:val="00181AF7"/>
    <w:rsid w:val="00181E2B"/>
    <w:rsid w:val="00186EF1"/>
    <w:rsid w:val="001877E1"/>
    <w:rsid w:val="00191613"/>
    <w:rsid w:val="0019330F"/>
    <w:rsid w:val="00193C60"/>
    <w:rsid w:val="001A75DF"/>
    <w:rsid w:val="001B19E7"/>
    <w:rsid w:val="001C1EA0"/>
    <w:rsid w:val="001D6437"/>
    <w:rsid w:val="001E5F11"/>
    <w:rsid w:val="001F5C21"/>
    <w:rsid w:val="001F6D80"/>
    <w:rsid w:val="00206E1A"/>
    <w:rsid w:val="00223961"/>
    <w:rsid w:val="00225915"/>
    <w:rsid w:val="002262F5"/>
    <w:rsid w:val="0023599C"/>
    <w:rsid w:val="00237A42"/>
    <w:rsid w:val="00253ADC"/>
    <w:rsid w:val="002558D9"/>
    <w:rsid w:val="00256E86"/>
    <w:rsid w:val="00256EF2"/>
    <w:rsid w:val="00263063"/>
    <w:rsid w:val="0026355D"/>
    <w:rsid w:val="00264CB7"/>
    <w:rsid w:val="002758D1"/>
    <w:rsid w:val="00283DE7"/>
    <w:rsid w:val="00287B5E"/>
    <w:rsid w:val="00290001"/>
    <w:rsid w:val="00294121"/>
    <w:rsid w:val="002A095B"/>
    <w:rsid w:val="002A4E2C"/>
    <w:rsid w:val="002A6715"/>
    <w:rsid w:val="002A6C34"/>
    <w:rsid w:val="002A7CB7"/>
    <w:rsid w:val="002B0BFE"/>
    <w:rsid w:val="002B2E36"/>
    <w:rsid w:val="002B4B21"/>
    <w:rsid w:val="002B52E5"/>
    <w:rsid w:val="002B6245"/>
    <w:rsid w:val="002C0073"/>
    <w:rsid w:val="002C4543"/>
    <w:rsid w:val="002C7154"/>
    <w:rsid w:val="002D1716"/>
    <w:rsid w:val="002D7BC2"/>
    <w:rsid w:val="002E198F"/>
    <w:rsid w:val="002E2887"/>
    <w:rsid w:val="002E3E0B"/>
    <w:rsid w:val="002F7822"/>
    <w:rsid w:val="003101D8"/>
    <w:rsid w:val="00316FC0"/>
    <w:rsid w:val="00321A47"/>
    <w:rsid w:val="003244D8"/>
    <w:rsid w:val="00343719"/>
    <w:rsid w:val="0034388E"/>
    <w:rsid w:val="00347021"/>
    <w:rsid w:val="003510CB"/>
    <w:rsid w:val="00360559"/>
    <w:rsid w:val="00361F3B"/>
    <w:rsid w:val="00366C16"/>
    <w:rsid w:val="003774E8"/>
    <w:rsid w:val="00382A2F"/>
    <w:rsid w:val="003901C7"/>
    <w:rsid w:val="00391F2F"/>
    <w:rsid w:val="003A338E"/>
    <w:rsid w:val="003A3637"/>
    <w:rsid w:val="003C1EC2"/>
    <w:rsid w:val="003D22F2"/>
    <w:rsid w:val="003D2715"/>
    <w:rsid w:val="003D495A"/>
    <w:rsid w:val="003E7140"/>
    <w:rsid w:val="004042B3"/>
    <w:rsid w:val="00416944"/>
    <w:rsid w:val="004219C6"/>
    <w:rsid w:val="004329CB"/>
    <w:rsid w:val="00441175"/>
    <w:rsid w:val="00443DCF"/>
    <w:rsid w:val="00445C5A"/>
    <w:rsid w:val="004475B4"/>
    <w:rsid w:val="00450625"/>
    <w:rsid w:val="00453D34"/>
    <w:rsid w:val="00467E95"/>
    <w:rsid w:val="004714BE"/>
    <w:rsid w:val="004807BE"/>
    <w:rsid w:val="004F45A0"/>
    <w:rsid w:val="00502594"/>
    <w:rsid w:val="005063A6"/>
    <w:rsid w:val="00513BB8"/>
    <w:rsid w:val="00523EED"/>
    <w:rsid w:val="00526C8C"/>
    <w:rsid w:val="00543D14"/>
    <w:rsid w:val="005445A4"/>
    <w:rsid w:val="0055038F"/>
    <w:rsid w:val="0055303D"/>
    <w:rsid w:val="00553279"/>
    <w:rsid w:val="00572EF6"/>
    <w:rsid w:val="005734E2"/>
    <w:rsid w:val="005745D8"/>
    <w:rsid w:val="0058088D"/>
    <w:rsid w:val="00580DF2"/>
    <w:rsid w:val="00585AB9"/>
    <w:rsid w:val="00586948"/>
    <w:rsid w:val="005955E5"/>
    <w:rsid w:val="005A7E6F"/>
    <w:rsid w:val="005B793D"/>
    <w:rsid w:val="005C4C89"/>
    <w:rsid w:val="005C5D06"/>
    <w:rsid w:val="005D0D81"/>
    <w:rsid w:val="005D5785"/>
    <w:rsid w:val="005E1902"/>
    <w:rsid w:val="005E7DC3"/>
    <w:rsid w:val="005F425A"/>
    <w:rsid w:val="00600588"/>
    <w:rsid w:val="0060221E"/>
    <w:rsid w:val="006118FA"/>
    <w:rsid w:val="00613B8E"/>
    <w:rsid w:val="00614768"/>
    <w:rsid w:val="00614E34"/>
    <w:rsid w:val="006233EA"/>
    <w:rsid w:val="00623483"/>
    <w:rsid w:val="00623F58"/>
    <w:rsid w:val="00624F20"/>
    <w:rsid w:val="006337FB"/>
    <w:rsid w:val="00633CFE"/>
    <w:rsid w:val="006408C0"/>
    <w:rsid w:val="00642C8A"/>
    <w:rsid w:val="00650608"/>
    <w:rsid w:val="0066683A"/>
    <w:rsid w:val="006714EB"/>
    <w:rsid w:val="00680F96"/>
    <w:rsid w:val="006844C0"/>
    <w:rsid w:val="00684A12"/>
    <w:rsid w:val="006873EB"/>
    <w:rsid w:val="0069097B"/>
    <w:rsid w:val="00691A19"/>
    <w:rsid w:val="00696FB7"/>
    <w:rsid w:val="006A3A1A"/>
    <w:rsid w:val="006B0FB3"/>
    <w:rsid w:val="006B1309"/>
    <w:rsid w:val="006B4FF6"/>
    <w:rsid w:val="006B5E9B"/>
    <w:rsid w:val="006C0541"/>
    <w:rsid w:val="006C2697"/>
    <w:rsid w:val="006C51A3"/>
    <w:rsid w:val="006D1CE3"/>
    <w:rsid w:val="006D4E0E"/>
    <w:rsid w:val="006D575C"/>
    <w:rsid w:val="006E063F"/>
    <w:rsid w:val="006E29F9"/>
    <w:rsid w:val="006E4629"/>
    <w:rsid w:val="006E63B4"/>
    <w:rsid w:val="006F368C"/>
    <w:rsid w:val="006F4CB6"/>
    <w:rsid w:val="00711D3D"/>
    <w:rsid w:val="0071262F"/>
    <w:rsid w:val="00715351"/>
    <w:rsid w:val="007167C1"/>
    <w:rsid w:val="00732C01"/>
    <w:rsid w:val="00733695"/>
    <w:rsid w:val="0073621A"/>
    <w:rsid w:val="00750F54"/>
    <w:rsid w:val="007545C1"/>
    <w:rsid w:val="00755EF4"/>
    <w:rsid w:val="00763BBF"/>
    <w:rsid w:val="00763D8B"/>
    <w:rsid w:val="00772218"/>
    <w:rsid w:val="0077396F"/>
    <w:rsid w:val="00781417"/>
    <w:rsid w:val="00783683"/>
    <w:rsid w:val="007854F1"/>
    <w:rsid w:val="00792BED"/>
    <w:rsid w:val="00795AA8"/>
    <w:rsid w:val="00796DF9"/>
    <w:rsid w:val="007A0C2E"/>
    <w:rsid w:val="007B0400"/>
    <w:rsid w:val="007B3B57"/>
    <w:rsid w:val="007B64C0"/>
    <w:rsid w:val="007C1AFA"/>
    <w:rsid w:val="007C202D"/>
    <w:rsid w:val="007D18D2"/>
    <w:rsid w:val="007D739B"/>
    <w:rsid w:val="007E1171"/>
    <w:rsid w:val="007E2467"/>
    <w:rsid w:val="007E2E47"/>
    <w:rsid w:val="007E3A1A"/>
    <w:rsid w:val="007E4314"/>
    <w:rsid w:val="007E63C7"/>
    <w:rsid w:val="00801962"/>
    <w:rsid w:val="00801F05"/>
    <w:rsid w:val="00805823"/>
    <w:rsid w:val="00812146"/>
    <w:rsid w:val="008207E7"/>
    <w:rsid w:val="00826B45"/>
    <w:rsid w:val="00826CD3"/>
    <w:rsid w:val="0082717F"/>
    <w:rsid w:val="0082799B"/>
    <w:rsid w:val="00831DE4"/>
    <w:rsid w:val="00833808"/>
    <w:rsid w:val="00841C96"/>
    <w:rsid w:val="008513BE"/>
    <w:rsid w:val="00853E24"/>
    <w:rsid w:val="00857C14"/>
    <w:rsid w:val="008614D7"/>
    <w:rsid w:val="0086522D"/>
    <w:rsid w:val="0086719C"/>
    <w:rsid w:val="0086721E"/>
    <w:rsid w:val="00870974"/>
    <w:rsid w:val="008729EB"/>
    <w:rsid w:val="008812CD"/>
    <w:rsid w:val="0088414E"/>
    <w:rsid w:val="00893144"/>
    <w:rsid w:val="008947ED"/>
    <w:rsid w:val="008A1E41"/>
    <w:rsid w:val="008B386D"/>
    <w:rsid w:val="008B530D"/>
    <w:rsid w:val="008C182A"/>
    <w:rsid w:val="008C1AEA"/>
    <w:rsid w:val="008C416F"/>
    <w:rsid w:val="008C76F9"/>
    <w:rsid w:val="008D1A8C"/>
    <w:rsid w:val="00911DDD"/>
    <w:rsid w:val="00912D2C"/>
    <w:rsid w:val="00912E8C"/>
    <w:rsid w:val="009164AC"/>
    <w:rsid w:val="00921341"/>
    <w:rsid w:val="009265C4"/>
    <w:rsid w:val="00930A2A"/>
    <w:rsid w:val="00954E66"/>
    <w:rsid w:val="00956F93"/>
    <w:rsid w:val="00971B08"/>
    <w:rsid w:val="00973D3C"/>
    <w:rsid w:val="00973F3C"/>
    <w:rsid w:val="009819C9"/>
    <w:rsid w:val="00984644"/>
    <w:rsid w:val="00990BF3"/>
    <w:rsid w:val="00991965"/>
    <w:rsid w:val="009941D7"/>
    <w:rsid w:val="0099728C"/>
    <w:rsid w:val="009A3BE4"/>
    <w:rsid w:val="009A7D4C"/>
    <w:rsid w:val="009B1279"/>
    <w:rsid w:val="009B15EB"/>
    <w:rsid w:val="009B6144"/>
    <w:rsid w:val="009C2515"/>
    <w:rsid w:val="009C26A0"/>
    <w:rsid w:val="00A03638"/>
    <w:rsid w:val="00A050B3"/>
    <w:rsid w:val="00A052E8"/>
    <w:rsid w:val="00A06934"/>
    <w:rsid w:val="00A1155E"/>
    <w:rsid w:val="00A14C1D"/>
    <w:rsid w:val="00A207BA"/>
    <w:rsid w:val="00A25E5F"/>
    <w:rsid w:val="00A2744E"/>
    <w:rsid w:val="00A46689"/>
    <w:rsid w:val="00A62148"/>
    <w:rsid w:val="00A66831"/>
    <w:rsid w:val="00A93EAE"/>
    <w:rsid w:val="00AA0D7C"/>
    <w:rsid w:val="00AB501B"/>
    <w:rsid w:val="00AB7E5D"/>
    <w:rsid w:val="00AC0DFE"/>
    <w:rsid w:val="00AD056D"/>
    <w:rsid w:val="00AD30D2"/>
    <w:rsid w:val="00AD35D2"/>
    <w:rsid w:val="00AE0C8E"/>
    <w:rsid w:val="00AE10DB"/>
    <w:rsid w:val="00B14EAE"/>
    <w:rsid w:val="00B16988"/>
    <w:rsid w:val="00B20471"/>
    <w:rsid w:val="00B2270F"/>
    <w:rsid w:val="00B34BB3"/>
    <w:rsid w:val="00B36D6C"/>
    <w:rsid w:val="00B4576E"/>
    <w:rsid w:val="00B5363A"/>
    <w:rsid w:val="00B66C05"/>
    <w:rsid w:val="00B75598"/>
    <w:rsid w:val="00B836D0"/>
    <w:rsid w:val="00B83D29"/>
    <w:rsid w:val="00B85EA1"/>
    <w:rsid w:val="00B87FBD"/>
    <w:rsid w:val="00B90588"/>
    <w:rsid w:val="00BA1BBE"/>
    <w:rsid w:val="00BA2A06"/>
    <w:rsid w:val="00BA3E0F"/>
    <w:rsid w:val="00BA3FF2"/>
    <w:rsid w:val="00BA7ECA"/>
    <w:rsid w:val="00BB6B73"/>
    <w:rsid w:val="00BB6F86"/>
    <w:rsid w:val="00BC4470"/>
    <w:rsid w:val="00BC4681"/>
    <w:rsid w:val="00BD783C"/>
    <w:rsid w:val="00BE419A"/>
    <w:rsid w:val="00BE73D8"/>
    <w:rsid w:val="00BF59F5"/>
    <w:rsid w:val="00C02CFA"/>
    <w:rsid w:val="00C03596"/>
    <w:rsid w:val="00C04785"/>
    <w:rsid w:val="00C05CB0"/>
    <w:rsid w:val="00C05EF4"/>
    <w:rsid w:val="00C07050"/>
    <w:rsid w:val="00C0712E"/>
    <w:rsid w:val="00C074C9"/>
    <w:rsid w:val="00C14BEF"/>
    <w:rsid w:val="00C1517A"/>
    <w:rsid w:val="00C17E26"/>
    <w:rsid w:val="00C20B34"/>
    <w:rsid w:val="00C20D3E"/>
    <w:rsid w:val="00C21AE4"/>
    <w:rsid w:val="00C268B2"/>
    <w:rsid w:val="00C30D98"/>
    <w:rsid w:val="00C46493"/>
    <w:rsid w:val="00C4667B"/>
    <w:rsid w:val="00C46C5B"/>
    <w:rsid w:val="00C50A1F"/>
    <w:rsid w:val="00C5665D"/>
    <w:rsid w:val="00C6466D"/>
    <w:rsid w:val="00C672D6"/>
    <w:rsid w:val="00C674D0"/>
    <w:rsid w:val="00C73826"/>
    <w:rsid w:val="00C75C9A"/>
    <w:rsid w:val="00C84B00"/>
    <w:rsid w:val="00C91DE3"/>
    <w:rsid w:val="00C9436B"/>
    <w:rsid w:val="00C94DF7"/>
    <w:rsid w:val="00C96CF9"/>
    <w:rsid w:val="00C96F59"/>
    <w:rsid w:val="00CA1660"/>
    <w:rsid w:val="00CA5373"/>
    <w:rsid w:val="00CA5396"/>
    <w:rsid w:val="00CA763C"/>
    <w:rsid w:val="00CC480A"/>
    <w:rsid w:val="00CC7EC8"/>
    <w:rsid w:val="00CD32D2"/>
    <w:rsid w:val="00CD5048"/>
    <w:rsid w:val="00CE12FF"/>
    <w:rsid w:val="00CE2FD6"/>
    <w:rsid w:val="00CF0DFF"/>
    <w:rsid w:val="00D02FA4"/>
    <w:rsid w:val="00D04DDC"/>
    <w:rsid w:val="00D207B5"/>
    <w:rsid w:val="00D21FA2"/>
    <w:rsid w:val="00D324C5"/>
    <w:rsid w:val="00D3767A"/>
    <w:rsid w:val="00D55BBE"/>
    <w:rsid w:val="00D572B0"/>
    <w:rsid w:val="00D61256"/>
    <w:rsid w:val="00D701B3"/>
    <w:rsid w:val="00D771E1"/>
    <w:rsid w:val="00D8126B"/>
    <w:rsid w:val="00D84BB8"/>
    <w:rsid w:val="00D85B12"/>
    <w:rsid w:val="00D85F87"/>
    <w:rsid w:val="00D914B2"/>
    <w:rsid w:val="00D93D3B"/>
    <w:rsid w:val="00DA55EE"/>
    <w:rsid w:val="00DB0380"/>
    <w:rsid w:val="00DB4F48"/>
    <w:rsid w:val="00DB72F8"/>
    <w:rsid w:val="00DC1D92"/>
    <w:rsid w:val="00DC31DB"/>
    <w:rsid w:val="00DC3757"/>
    <w:rsid w:val="00DC50EE"/>
    <w:rsid w:val="00DC654C"/>
    <w:rsid w:val="00DD3103"/>
    <w:rsid w:val="00DE5974"/>
    <w:rsid w:val="00DF5C6C"/>
    <w:rsid w:val="00E00C8D"/>
    <w:rsid w:val="00E02105"/>
    <w:rsid w:val="00E06769"/>
    <w:rsid w:val="00E31453"/>
    <w:rsid w:val="00E46BE3"/>
    <w:rsid w:val="00E5166E"/>
    <w:rsid w:val="00E55892"/>
    <w:rsid w:val="00E60C66"/>
    <w:rsid w:val="00E60FB5"/>
    <w:rsid w:val="00E6241B"/>
    <w:rsid w:val="00E7521C"/>
    <w:rsid w:val="00E75DC6"/>
    <w:rsid w:val="00E85F11"/>
    <w:rsid w:val="00E9323F"/>
    <w:rsid w:val="00EB159C"/>
    <w:rsid w:val="00EB735F"/>
    <w:rsid w:val="00EC6A7B"/>
    <w:rsid w:val="00EC6DB0"/>
    <w:rsid w:val="00ED149D"/>
    <w:rsid w:val="00ED4E0E"/>
    <w:rsid w:val="00ED669A"/>
    <w:rsid w:val="00EE0FE5"/>
    <w:rsid w:val="00EE1C0E"/>
    <w:rsid w:val="00EE3E95"/>
    <w:rsid w:val="00EE6EAC"/>
    <w:rsid w:val="00F03693"/>
    <w:rsid w:val="00F119E3"/>
    <w:rsid w:val="00F130CD"/>
    <w:rsid w:val="00F16B68"/>
    <w:rsid w:val="00F26BE6"/>
    <w:rsid w:val="00F27D6D"/>
    <w:rsid w:val="00F3134B"/>
    <w:rsid w:val="00F3743A"/>
    <w:rsid w:val="00F42AC9"/>
    <w:rsid w:val="00F44E95"/>
    <w:rsid w:val="00F44F1D"/>
    <w:rsid w:val="00F4616A"/>
    <w:rsid w:val="00F51007"/>
    <w:rsid w:val="00F52F52"/>
    <w:rsid w:val="00F5320D"/>
    <w:rsid w:val="00F60922"/>
    <w:rsid w:val="00F6461C"/>
    <w:rsid w:val="00F653B4"/>
    <w:rsid w:val="00F71616"/>
    <w:rsid w:val="00F72B4F"/>
    <w:rsid w:val="00F74B3E"/>
    <w:rsid w:val="00F760C8"/>
    <w:rsid w:val="00F9012D"/>
    <w:rsid w:val="00F90741"/>
    <w:rsid w:val="00FB1776"/>
    <w:rsid w:val="00FB1DDA"/>
    <w:rsid w:val="00FC0A90"/>
    <w:rsid w:val="00FC2463"/>
    <w:rsid w:val="00FC6C78"/>
    <w:rsid w:val="00FD02E9"/>
    <w:rsid w:val="00FE6368"/>
    <w:rsid w:val="00FE7A32"/>
    <w:rsid w:val="00FF70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56797"/>
  <w15:chartTrackingRefBased/>
  <w15:docId w15:val="{AE960B35-79FE-43FA-B7C4-F60EDE096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91A19"/>
    <w:pPr>
      <w:spacing w:after="200" w:line="276" w:lineRule="auto"/>
    </w:pPr>
    <w:rPr>
      <w:rFonts w:ascii="Calibri" w:hAnsi="Calibr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64C0"/>
    <w:pPr>
      <w:spacing w:after="0" w:line="240" w:lineRule="auto"/>
    </w:pPr>
    <w:rPr>
      <w:rFonts w:ascii="Tahoma" w:hAnsi="Tahoma"/>
      <w:sz w:val="16"/>
      <w:szCs w:val="16"/>
      <w:lang w:val="x-none"/>
    </w:rPr>
  </w:style>
  <w:style w:type="character" w:customStyle="1" w:styleId="DebesliotekstasDiagrama">
    <w:name w:val="Debesėlio tekstas Diagrama"/>
    <w:link w:val="Debesliotekstas"/>
    <w:uiPriority w:val="99"/>
    <w:semiHidden/>
    <w:rsid w:val="007B64C0"/>
    <w:rPr>
      <w:rFonts w:ascii="Tahoma" w:hAnsi="Tahoma" w:cs="Tahoma"/>
      <w:sz w:val="16"/>
      <w:szCs w:val="16"/>
      <w:lang w:eastAsia="en-US"/>
    </w:rPr>
  </w:style>
  <w:style w:type="character" w:styleId="Komentaronuoroda">
    <w:name w:val="annotation reference"/>
    <w:semiHidden/>
    <w:unhideWhenUsed/>
    <w:rsid w:val="00A62148"/>
    <w:rPr>
      <w:sz w:val="16"/>
      <w:szCs w:val="16"/>
    </w:rPr>
  </w:style>
  <w:style w:type="paragraph" w:styleId="Komentarotekstas">
    <w:name w:val="annotation text"/>
    <w:basedOn w:val="prastasis"/>
    <w:link w:val="KomentarotekstasDiagrama"/>
    <w:uiPriority w:val="99"/>
    <w:unhideWhenUsed/>
    <w:rsid w:val="00A62148"/>
    <w:rPr>
      <w:sz w:val="20"/>
      <w:szCs w:val="20"/>
      <w:lang w:val="x-none"/>
    </w:rPr>
  </w:style>
  <w:style w:type="character" w:customStyle="1" w:styleId="KomentarotekstasDiagrama">
    <w:name w:val="Komentaro tekstas Diagrama"/>
    <w:link w:val="Komentarotekstas"/>
    <w:uiPriority w:val="99"/>
    <w:rsid w:val="00A62148"/>
    <w:rPr>
      <w:rFonts w:ascii="Calibri" w:hAnsi="Calibri"/>
      <w:lang w:eastAsia="en-US"/>
    </w:rPr>
  </w:style>
  <w:style w:type="paragraph" w:styleId="Komentarotema">
    <w:name w:val="annotation subject"/>
    <w:basedOn w:val="Komentarotekstas"/>
    <w:next w:val="Komentarotekstas"/>
    <w:link w:val="KomentarotemaDiagrama"/>
    <w:uiPriority w:val="99"/>
    <w:semiHidden/>
    <w:unhideWhenUsed/>
    <w:rsid w:val="00A62148"/>
    <w:rPr>
      <w:b/>
      <w:bCs/>
    </w:rPr>
  </w:style>
  <w:style w:type="character" w:customStyle="1" w:styleId="KomentarotemaDiagrama">
    <w:name w:val="Komentaro tema Diagrama"/>
    <w:link w:val="Komentarotema"/>
    <w:uiPriority w:val="99"/>
    <w:semiHidden/>
    <w:rsid w:val="00A62148"/>
    <w:rPr>
      <w:rFonts w:ascii="Calibri" w:hAnsi="Calibri"/>
      <w:b/>
      <w:bCs/>
      <w:lang w:eastAsia="en-US"/>
    </w:rPr>
  </w:style>
  <w:style w:type="paragraph" w:styleId="Sraopastraipa">
    <w:name w:val="List Paragraph"/>
    <w:basedOn w:val="prastasis"/>
    <w:uiPriority w:val="34"/>
    <w:qFormat/>
    <w:rsid w:val="003A338E"/>
    <w:pPr>
      <w:spacing w:after="0" w:line="240" w:lineRule="auto"/>
      <w:ind w:left="720"/>
    </w:pPr>
    <w:rPr>
      <w:lang w:eastAsia="lt-LT"/>
    </w:rPr>
  </w:style>
  <w:style w:type="character" w:styleId="Hipersaitas">
    <w:name w:val="Hyperlink"/>
    <w:rsid w:val="005745D8"/>
    <w:rPr>
      <w:color w:val="0000FF"/>
      <w:u w:val="single"/>
    </w:rPr>
  </w:style>
  <w:style w:type="paragraph" w:styleId="Antrats">
    <w:name w:val="header"/>
    <w:basedOn w:val="prastasis"/>
    <w:link w:val="AntratsDiagrama"/>
    <w:uiPriority w:val="99"/>
    <w:unhideWhenUsed/>
    <w:rsid w:val="007C202D"/>
    <w:pPr>
      <w:tabs>
        <w:tab w:val="center" w:pos="4819"/>
        <w:tab w:val="right" w:pos="9638"/>
      </w:tabs>
    </w:pPr>
    <w:rPr>
      <w:lang w:val="x-none"/>
    </w:rPr>
  </w:style>
  <w:style w:type="character" w:customStyle="1" w:styleId="AntratsDiagrama">
    <w:name w:val="Antraštės Diagrama"/>
    <w:link w:val="Antrats"/>
    <w:uiPriority w:val="99"/>
    <w:rsid w:val="007C202D"/>
    <w:rPr>
      <w:rFonts w:ascii="Calibri" w:hAnsi="Calibri"/>
      <w:sz w:val="22"/>
      <w:szCs w:val="22"/>
      <w:lang w:eastAsia="en-US"/>
    </w:rPr>
  </w:style>
  <w:style w:type="paragraph" w:styleId="Porat">
    <w:name w:val="footer"/>
    <w:basedOn w:val="prastasis"/>
    <w:link w:val="PoratDiagrama"/>
    <w:uiPriority w:val="99"/>
    <w:semiHidden/>
    <w:unhideWhenUsed/>
    <w:rsid w:val="007C202D"/>
    <w:pPr>
      <w:tabs>
        <w:tab w:val="center" w:pos="4819"/>
        <w:tab w:val="right" w:pos="9638"/>
      </w:tabs>
    </w:pPr>
    <w:rPr>
      <w:lang w:val="x-none"/>
    </w:rPr>
  </w:style>
  <w:style w:type="character" w:customStyle="1" w:styleId="PoratDiagrama">
    <w:name w:val="Poraštė Diagrama"/>
    <w:link w:val="Porat"/>
    <w:uiPriority w:val="99"/>
    <w:semiHidden/>
    <w:rsid w:val="007C202D"/>
    <w:rPr>
      <w:rFonts w:ascii="Calibri" w:hAnsi="Calibri"/>
      <w:sz w:val="22"/>
      <w:szCs w:val="22"/>
      <w:lang w:eastAsia="en-US"/>
    </w:rPr>
  </w:style>
  <w:style w:type="paragraph" w:customStyle="1" w:styleId="tajtip">
    <w:name w:val="tajtip"/>
    <w:basedOn w:val="prastasis"/>
    <w:rsid w:val="003D495A"/>
    <w:pPr>
      <w:spacing w:before="100" w:beforeAutospacing="1" w:after="100" w:afterAutospacing="1" w:line="240" w:lineRule="auto"/>
    </w:pPr>
    <w:rPr>
      <w:rFonts w:ascii="Times New Roman" w:eastAsia="Times New Roman" w:hAnsi="Times New Roman"/>
      <w:sz w:val="24"/>
      <w:szCs w:val="24"/>
      <w:lang w:eastAsia="lt-LT"/>
    </w:rPr>
  </w:style>
  <w:style w:type="paragraph" w:styleId="Pataisymai">
    <w:name w:val="Revision"/>
    <w:hidden/>
    <w:uiPriority w:val="99"/>
    <w:semiHidden/>
    <w:rsid w:val="00361F3B"/>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587116">
      <w:bodyDiv w:val="1"/>
      <w:marLeft w:val="225"/>
      <w:marRight w:val="225"/>
      <w:marTop w:val="0"/>
      <w:marBottom w:val="0"/>
      <w:divBdr>
        <w:top w:val="none" w:sz="0" w:space="0" w:color="auto"/>
        <w:left w:val="none" w:sz="0" w:space="0" w:color="auto"/>
        <w:bottom w:val="none" w:sz="0" w:space="0" w:color="auto"/>
        <w:right w:val="none" w:sz="0" w:space="0" w:color="auto"/>
      </w:divBdr>
      <w:divsChild>
        <w:div w:id="516697966">
          <w:marLeft w:val="0"/>
          <w:marRight w:val="0"/>
          <w:marTop w:val="0"/>
          <w:marBottom w:val="0"/>
          <w:divBdr>
            <w:top w:val="none" w:sz="0" w:space="0" w:color="auto"/>
            <w:left w:val="none" w:sz="0" w:space="0" w:color="auto"/>
            <w:bottom w:val="none" w:sz="0" w:space="0" w:color="auto"/>
            <w:right w:val="none" w:sz="0" w:space="0" w:color="auto"/>
          </w:divBdr>
        </w:div>
      </w:divsChild>
    </w:div>
    <w:div w:id="1961567292">
      <w:bodyDiv w:val="1"/>
      <w:marLeft w:val="0"/>
      <w:marRight w:val="0"/>
      <w:marTop w:val="0"/>
      <w:marBottom w:val="150"/>
      <w:divBdr>
        <w:top w:val="none" w:sz="0" w:space="0" w:color="auto"/>
        <w:left w:val="none" w:sz="0" w:space="0" w:color="auto"/>
        <w:bottom w:val="none" w:sz="0" w:space="0" w:color="auto"/>
        <w:right w:val="none" w:sz="0" w:space="0" w:color="auto"/>
      </w:divBdr>
      <w:divsChild>
        <w:div w:id="2016413850">
          <w:marLeft w:val="600"/>
          <w:marRight w:val="0"/>
          <w:marTop w:val="0"/>
          <w:marBottom w:val="0"/>
          <w:divBdr>
            <w:top w:val="none" w:sz="0" w:space="0" w:color="auto"/>
            <w:left w:val="none" w:sz="0" w:space="0" w:color="auto"/>
            <w:bottom w:val="none" w:sz="0" w:space="0" w:color="auto"/>
            <w:right w:val="none" w:sz="0" w:space="0" w:color="auto"/>
          </w:divBdr>
          <w:divsChild>
            <w:div w:id="160576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F96B1C-6D1B-4EC1-8FF0-998B8A245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32788</Words>
  <Characters>18690</Characters>
  <Application>Microsoft Office Word</Application>
  <DocSecurity>0</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kristinasl</dc:creator>
  <cp:keywords/>
  <cp:lastModifiedBy>Darius Krištonaitis</cp:lastModifiedBy>
  <cp:revision>5</cp:revision>
  <cp:lastPrinted>2016-11-14T07:17:00Z</cp:lastPrinted>
  <dcterms:created xsi:type="dcterms:W3CDTF">2018-03-20T14:29:00Z</dcterms:created>
  <dcterms:modified xsi:type="dcterms:W3CDTF">2018-10-01T05:53:00Z</dcterms:modified>
</cp:coreProperties>
</file>