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D6AD" w14:textId="68A981EA" w:rsidR="00694944" w:rsidRPr="00C5156F" w:rsidRDefault="00694944" w:rsidP="00E868B0">
      <w:pPr>
        <w:jc w:val="center"/>
        <w:outlineLvl w:val="0"/>
        <w:rPr>
          <w:b/>
          <w:bCs/>
        </w:rPr>
      </w:pPr>
      <w:r w:rsidRPr="00C5156F">
        <w:rPr>
          <w:b/>
          <w:bCs/>
        </w:rPr>
        <w:t>PATEIKTŲ PASIŪLYMŲ ĮGYVENDINIMAS</w:t>
      </w:r>
    </w:p>
    <w:p w14:paraId="711CD6AE" w14:textId="77777777" w:rsidR="00694944" w:rsidRPr="00C5156F" w:rsidRDefault="00694944" w:rsidP="00694944">
      <w:pPr>
        <w:jc w:val="center"/>
        <w:rPr>
          <w:b/>
          <w:bCs/>
        </w:rPr>
      </w:pPr>
    </w:p>
    <w:p w14:paraId="692CC0F2" w14:textId="77777777" w:rsidR="0034418E" w:rsidRDefault="0034418E" w:rsidP="0034418E"/>
    <w:tbl>
      <w:tblPr>
        <w:tblStyle w:val="Lentelstinklelis"/>
        <w:tblW w:w="5000" w:type="pct"/>
        <w:tblLook w:val="04A0" w:firstRow="1" w:lastRow="0" w:firstColumn="1" w:lastColumn="0" w:noHBand="0" w:noVBand="1"/>
      </w:tblPr>
      <w:tblGrid>
        <w:gridCol w:w="3209"/>
        <w:gridCol w:w="3218"/>
        <w:gridCol w:w="5925"/>
        <w:gridCol w:w="1924"/>
      </w:tblGrid>
      <w:tr w:rsidR="0037500E" w:rsidRPr="002B3452" w14:paraId="2B949321" w14:textId="77777777" w:rsidTr="001F3519">
        <w:tc>
          <w:tcPr>
            <w:tcW w:w="1124" w:type="pct"/>
          </w:tcPr>
          <w:p w14:paraId="2237D327" w14:textId="77777777" w:rsidR="0037500E" w:rsidRPr="008F1D8D" w:rsidRDefault="0037500E" w:rsidP="00187C33">
            <w:pPr>
              <w:widowControl w:val="0"/>
              <w:jc w:val="center"/>
              <w:rPr>
                <w:i/>
                <w:snapToGrid w:val="0"/>
              </w:rPr>
            </w:pPr>
            <w:r w:rsidRPr="008F1D8D">
              <w:rPr>
                <w:i/>
                <w:snapToGrid w:val="0"/>
              </w:rPr>
              <w:t>Pateiktos pastabos</w:t>
            </w:r>
          </w:p>
        </w:tc>
        <w:tc>
          <w:tcPr>
            <w:tcW w:w="1127" w:type="pct"/>
          </w:tcPr>
          <w:p w14:paraId="52AC4B25" w14:textId="77777777" w:rsidR="0037500E" w:rsidRPr="008F1D8D" w:rsidRDefault="0037500E" w:rsidP="00187C33">
            <w:pPr>
              <w:widowControl w:val="0"/>
              <w:jc w:val="center"/>
              <w:rPr>
                <w:i/>
                <w:snapToGrid w:val="0"/>
              </w:rPr>
            </w:pPr>
            <w:r w:rsidRPr="008F1D8D">
              <w:rPr>
                <w:i/>
                <w:snapToGrid w:val="0"/>
              </w:rPr>
              <w:t>Pasiūlymai atsižvelgiant į pateiktas pastabas</w:t>
            </w:r>
          </w:p>
        </w:tc>
        <w:tc>
          <w:tcPr>
            <w:tcW w:w="2075" w:type="pct"/>
          </w:tcPr>
          <w:p w14:paraId="36CBAB53" w14:textId="77777777" w:rsidR="0037500E" w:rsidRPr="008F1D8D" w:rsidRDefault="0037500E" w:rsidP="00187C33">
            <w:pPr>
              <w:widowControl w:val="0"/>
              <w:jc w:val="center"/>
              <w:rPr>
                <w:i/>
                <w:snapToGrid w:val="0"/>
              </w:rPr>
            </w:pPr>
            <w:r w:rsidRPr="008F1D8D">
              <w:rPr>
                <w:i/>
                <w:snapToGrid w:val="0"/>
              </w:rPr>
              <w:t>Duomenys apie pastabų ir pasiūlymų įgyvendinimą</w:t>
            </w:r>
          </w:p>
        </w:tc>
        <w:tc>
          <w:tcPr>
            <w:tcW w:w="674" w:type="pct"/>
          </w:tcPr>
          <w:p w14:paraId="3E7863AC" w14:textId="77777777" w:rsidR="0037500E" w:rsidRPr="008F1D8D" w:rsidRDefault="0037500E" w:rsidP="00187C33">
            <w:pPr>
              <w:widowControl w:val="0"/>
              <w:jc w:val="center"/>
              <w:rPr>
                <w:i/>
                <w:snapToGrid w:val="0"/>
              </w:rPr>
            </w:pPr>
            <w:r w:rsidRPr="008F1D8D">
              <w:rPr>
                <w:i/>
                <w:snapToGrid w:val="0"/>
              </w:rPr>
              <w:t>Specialiųjų tyrimų tarnybos vertinimas</w:t>
            </w:r>
          </w:p>
        </w:tc>
      </w:tr>
      <w:tr w:rsidR="0037500E" w:rsidRPr="002B3452" w14:paraId="27BD7A2B" w14:textId="77777777" w:rsidTr="001F3519">
        <w:tc>
          <w:tcPr>
            <w:tcW w:w="5000" w:type="pct"/>
            <w:gridSpan w:val="4"/>
          </w:tcPr>
          <w:p w14:paraId="7DDD2410" w14:textId="77777777" w:rsidR="0037500E" w:rsidRPr="008F1D8D" w:rsidRDefault="0037500E" w:rsidP="00187C33">
            <w:pPr>
              <w:pStyle w:val="Sraopastraipa"/>
              <w:widowControl w:val="0"/>
              <w:numPr>
                <w:ilvl w:val="0"/>
                <w:numId w:val="1"/>
              </w:numPr>
              <w:jc w:val="center"/>
              <w:rPr>
                <w:i/>
                <w:snapToGrid w:val="0"/>
              </w:rPr>
            </w:pPr>
            <w:r w:rsidRPr="008F1D8D">
              <w:rPr>
                <w:i/>
                <w:snapToGrid w:val="0"/>
              </w:rPr>
              <w:t>Kritinės antikorupcinės pastabos</w:t>
            </w:r>
          </w:p>
        </w:tc>
      </w:tr>
      <w:tr w:rsidR="0037500E" w:rsidRPr="002B3452" w14:paraId="578637E3" w14:textId="77777777" w:rsidTr="001F3519">
        <w:tc>
          <w:tcPr>
            <w:tcW w:w="1124" w:type="pct"/>
          </w:tcPr>
          <w:p w14:paraId="2B047CF1" w14:textId="777E95F9" w:rsidR="00A051E5" w:rsidRPr="002B3452" w:rsidRDefault="00A051E5" w:rsidP="00695012">
            <w:pPr>
              <w:widowControl w:val="0"/>
              <w:jc w:val="both"/>
              <w:rPr>
                <w:snapToGrid w:val="0"/>
              </w:rPr>
            </w:pPr>
            <w:r>
              <w:rPr>
                <w:snapToGrid w:val="0"/>
              </w:rPr>
              <w:t xml:space="preserve">1. </w:t>
            </w:r>
            <w:r w:rsidRPr="00A051E5">
              <w:rPr>
                <w:snapToGrid w:val="0"/>
              </w:rPr>
              <w:t>Tendencinga ŽŪM, AM ir SADM praktika, kuomet kreipiamasi tik į vieną tiekėją, sudaro prielaidas galimai neobjektyviems viešiesiems pirkimams, kurių procedūroje gali kilti selektyvių sprendimų priėmimo rizika. Antikorupciniu požiūriu tokia praktika gali lemti tam tikrų juridinių asmenų protegavimą, galimus neteisėtus susitarimus bei neracionalų viešųjų finansų valdymą. Nesant objektyvaus, optimalaus ir racionalaus poreikio formavimo ir planavimo, gali būti siekiama dirbtinai skaidyti pirkimą, taip išvengiant griežtesnių pirkimo procedūrų, o tai neigiamai veikia konkurenciją</w:t>
            </w:r>
            <w:r>
              <w:rPr>
                <w:snapToGrid w:val="0"/>
              </w:rPr>
              <w:t xml:space="preserve"> </w:t>
            </w:r>
            <w:r w:rsidRPr="00A051E5">
              <w:rPr>
                <w:rFonts w:eastAsia="Calibri"/>
                <w:i/>
                <w:iCs/>
              </w:rPr>
              <w:t>(žr. 3.1 skirsnio argumentus)</w:t>
            </w:r>
            <w:r w:rsidRPr="00A051E5">
              <w:rPr>
                <w:rFonts w:eastAsia="Calibri"/>
                <w:lang w:eastAsia="en-US"/>
              </w:rPr>
              <w:t>.</w:t>
            </w:r>
          </w:p>
        </w:tc>
        <w:tc>
          <w:tcPr>
            <w:tcW w:w="1127" w:type="pct"/>
          </w:tcPr>
          <w:p w14:paraId="663A01AA" w14:textId="1979CA0F" w:rsidR="0037500E" w:rsidRPr="002B3452" w:rsidRDefault="00A051E5" w:rsidP="00695012">
            <w:pPr>
              <w:widowControl w:val="0"/>
              <w:jc w:val="both"/>
              <w:rPr>
                <w:snapToGrid w:val="0"/>
              </w:rPr>
            </w:pPr>
            <w:r w:rsidRPr="00A051E5">
              <w:rPr>
                <w:snapToGrid w:val="0"/>
              </w:rPr>
              <w:t>Žemės ūkio ministerijai – teisiniame reglamentavime įtvirtinti papildomas kontrolės priemones, siekiant periodiškai įvertinti VPĮ, ministerijos viešųjų pirkimų organizavimo ir vidaus kontrolės tvarkos aprašo (taisyklių) principų bei nuostatų tinkamą įgyvendinimą neskelbiamos apklausos būdu atliekamų pirkimų procese</w:t>
            </w:r>
          </w:p>
        </w:tc>
        <w:tc>
          <w:tcPr>
            <w:tcW w:w="2075" w:type="pct"/>
          </w:tcPr>
          <w:p w14:paraId="5A5EC7F9" w14:textId="4F1B65AE" w:rsidR="0037500E" w:rsidRPr="002B3452" w:rsidRDefault="001F3519" w:rsidP="00695012">
            <w:pPr>
              <w:widowControl w:val="0"/>
              <w:jc w:val="both"/>
              <w:rPr>
                <w:snapToGrid w:val="0"/>
              </w:rPr>
            </w:pPr>
            <w:r w:rsidRPr="001F3519">
              <w:rPr>
                <w:snapToGrid w:val="0"/>
              </w:rPr>
              <w:t>Pažymime, kad rekomendacijoje minima kontrolė yra užtikrinama jau veikiančiomis priemonėmis. Vadovaujantis dabartiniu Lietuvos Respublikos žemės ūkio ministerijos viešųjų pirkimų organizavimo ir vidaus kontrolės tvarkos apraš</w:t>
            </w:r>
            <w:r w:rsidR="00A72481">
              <w:rPr>
                <w:snapToGrid w:val="0"/>
              </w:rPr>
              <w:t>u</w:t>
            </w:r>
            <w:r w:rsidRPr="001F3519">
              <w:rPr>
                <w:snapToGrid w:val="0"/>
              </w:rPr>
              <w:t>, patvirtint</w:t>
            </w:r>
            <w:r w:rsidR="00A72481">
              <w:rPr>
                <w:snapToGrid w:val="0"/>
              </w:rPr>
              <w:t>u</w:t>
            </w:r>
            <w:r w:rsidRPr="001F3519">
              <w:rPr>
                <w:snapToGrid w:val="0"/>
              </w:rPr>
              <w:t xml:space="preserve"> Lietuvos Respublikos žemės ūkio ministro 2020 m. sausio 13 d. įsakymu Nr. 3D-18 (Lietuvos Respublikos žemės ūkio ministro 2025 m. rugpjūčio 21 d. įsakymo Nr. 3D-434</w:t>
            </w:r>
            <w:r w:rsidR="00A72481">
              <w:rPr>
                <w:snapToGrid w:val="0"/>
              </w:rPr>
              <w:t xml:space="preserve"> </w:t>
            </w:r>
            <w:r w:rsidRPr="001F3519">
              <w:rPr>
                <w:snapToGrid w:val="0"/>
              </w:rPr>
              <w:t>redakcija</w:t>
            </w:r>
            <w:r w:rsidR="0056273A">
              <w:rPr>
                <w:rStyle w:val="Puslapioinaosnuoroda"/>
                <w:snapToGrid w:val="0"/>
              </w:rPr>
              <w:footnoteReference w:id="1"/>
            </w:r>
            <w:r w:rsidRPr="001F3519">
              <w:rPr>
                <w:snapToGrid w:val="0"/>
              </w:rPr>
              <w:t>), kiekvienas pirkimas neskelbiamos apklausos būdu suderinamas su tiesioginiu pirkimo iniciatoriaus vadovu, Viešųjų pirkimų skyriaus vedėju, kitais atsakingais specialistais pagal kompetenciją</w:t>
            </w:r>
            <w:r w:rsidR="00A72481">
              <w:rPr>
                <w:snapToGrid w:val="0"/>
              </w:rPr>
              <w:t>.</w:t>
            </w:r>
            <w:r w:rsidRPr="001F3519">
              <w:rPr>
                <w:snapToGrid w:val="0"/>
              </w:rPr>
              <w:t xml:space="preserve"> Būtinybė atlikti pirkimą, grindžiama raštu. Sprendimą dėl neskelbiamos apklausos atlikimo priima Žemės ūkio ministerijos kancleris. Be to, ministerijos Centralizuotas vidaus audito skyrius į savo [2026/2027 m.] veiklos planą įtraukė tikslinį neskelbiamų pirkimų procesų patikrinimą. Manome, kad šios priemonės yra proporcingos ir visiškai pasiekia rekomendacijoje nurodytą tikslą.</w:t>
            </w:r>
          </w:p>
        </w:tc>
        <w:tc>
          <w:tcPr>
            <w:tcW w:w="674" w:type="pct"/>
          </w:tcPr>
          <w:p w14:paraId="012A86E9" w14:textId="77777777" w:rsidR="0037500E" w:rsidRPr="002B3452" w:rsidRDefault="0037500E" w:rsidP="00695012">
            <w:pPr>
              <w:widowControl w:val="0"/>
              <w:jc w:val="both"/>
              <w:rPr>
                <w:snapToGrid w:val="0"/>
              </w:rPr>
            </w:pPr>
          </w:p>
        </w:tc>
      </w:tr>
      <w:tr w:rsidR="0037500E" w:rsidRPr="002B3452" w14:paraId="3D6A8FFD" w14:textId="77777777" w:rsidTr="001F3519">
        <w:tc>
          <w:tcPr>
            <w:tcW w:w="1124" w:type="pct"/>
          </w:tcPr>
          <w:p w14:paraId="531AF5DA" w14:textId="435F6B2F" w:rsidR="0037500E" w:rsidRPr="002B3452" w:rsidRDefault="00A051E5" w:rsidP="00695012">
            <w:pPr>
              <w:widowControl w:val="0"/>
              <w:jc w:val="both"/>
              <w:rPr>
                <w:snapToGrid w:val="0"/>
              </w:rPr>
            </w:pPr>
            <w:r>
              <w:rPr>
                <w:snapToGrid w:val="0"/>
              </w:rPr>
              <w:t xml:space="preserve">2. </w:t>
            </w:r>
            <w:r w:rsidRPr="00A051E5">
              <w:rPr>
                <w:snapToGrid w:val="0"/>
              </w:rPr>
              <w:t xml:space="preserve">Didžioji dauguma (9 iš 12 nagrinėtų)  ministerijų, įsigijusių paslaugas pagal VPĮ </w:t>
            </w:r>
            <w:r w:rsidRPr="00A051E5">
              <w:rPr>
                <w:snapToGrid w:val="0"/>
              </w:rPr>
              <w:lastRenderedPageBreak/>
              <w:t>nustatytą išimtį, neturi tokias įsigijimų procedūras reglamentuojančių vidaus tvarkų, o tai gali kelti korupcijos rizikas dėl vidaus kontrolės trūkumo, šališkų sprendimų priėmimo, neefektyvaus viešųjų finansų valdymo</w:t>
            </w:r>
            <w:r>
              <w:rPr>
                <w:snapToGrid w:val="0"/>
              </w:rPr>
              <w:t xml:space="preserve"> </w:t>
            </w:r>
            <w:r w:rsidRPr="00A051E5">
              <w:rPr>
                <w:rFonts w:eastAsia="Calibri"/>
                <w:i/>
                <w:iCs/>
              </w:rPr>
              <w:t>(žr. 3.2 skirsnio argumentus)</w:t>
            </w:r>
            <w:r w:rsidRPr="00A051E5">
              <w:rPr>
                <w:rFonts w:eastAsia="Calibri"/>
                <w:lang w:eastAsia="en-US"/>
              </w:rPr>
              <w:t>.</w:t>
            </w:r>
          </w:p>
        </w:tc>
        <w:tc>
          <w:tcPr>
            <w:tcW w:w="1127" w:type="pct"/>
          </w:tcPr>
          <w:p w14:paraId="4C569133" w14:textId="1C43FAC6" w:rsidR="0037500E" w:rsidRPr="002B3452" w:rsidRDefault="00A051E5" w:rsidP="00695012">
            <w:pPr>
              <w:widowControl w:val="0"/>
              <w:jc w:val="both"/>
              <w:rPr>
                <w:snapToGrid w:val="0"/>
              </w:rPr>
            </w:pPr>
            <w:r w:rsidRPr="00A051E5">
              <w:rPr>
                <w:snapToGrid w:val="0"/>
              </w:rPr>
              <w:lastRenderedPageBreak/>
              <w:t>Žemės ūkio ministerijoje būtų reglamentuot</w:t>
            </w:r>
            <w:r>
              <w:rPr>
                <w:snapToGrid w:val="0"/>
              </w:rPr>
              <w:t>i</w:t>
            </w:r>
            <w:r w:rsidRPr="00A051E5">
              <w:rPr>
                <w:snapToGrid w:val="0"/>
              </w:rPr>
              <w:t xml:space="preserve"> pirkimų, vykdomų taikant VPĮ išimtį, </w:t>
            </w:r>
            <w:r w:rsidRPr="00A051E5">
              <w:rPr>
                <w:snapToGrid w:val="0"/>
              </w:rPr>
              <w:lastRenderedPageBreak/>
              <w:t>atlikimo tvarka, nustatant, be kita ko, išimties taikymo (poreikio pirkimui) sąlygas bei rinkos tyrimo atlikimo (dokumentavimo), konfidencialumo ir nešališkumo reikalavimų laikymosi procedūras ir kad atskirose ministerijose esanti tvarka, pagal savo turinį, atspindėtų vieningą požiūrį į pagrindinius tokiems pirkimams taikomus principus: skaidrumą, lygiateisiškumą, nediskriminavimą, proporcingumą bei racionalų lėšų naudojimą</w:t>
            </w:r>
          </w:p>
        </w:tc>
        <w:tc>
          <w:tcPr>
            <w:tcW w:w="2075" w:type="pct"/>
          </w:tcPr>
          <w:p w14:paraId="300D25AC" w14:textId="4D11EFF2" w:rsidR="0037500E" w:rsidRPr="002B3452" w:rsidRDefault="001F3519" w:rsidP="00695012">
            <w:pPr>
              <w:widowControl w:val="0"/>
              <w:jc w:val="both"/>
              <w:rPr>
                <w:snapToGrid w:val="0"/>
              </w:rPr>
            </w:pPr>
            <w:r w:rsidRPr="001F3519">
              <w:lastRenderedPageBreak/>
              <w:t xml:space="preserve">2026 m. gegužės 13 d. žemės ūkio ministro įsakymu Nr. 3D-240 pakeistas Lietuvos Respublikos žemės ūkio ministro 2025 m. gruodžio 4 d. įsakymas Nr. 3D-606 „Dėl Lietuvos </w:t>
            </w:r>
            <w:r w:rsidRPr="001F3519">
              <w:lastRenderedPageBreak/>
              <w:t>Respublikos žemės ūkio ministerijos teisinių paslaugų pirkimų organizavimo ir vidaus kontrolės tvarkos aprašo patvirtinimo“ (Aprašas atnaujintas iš esmės)</w:t>
            </w:r>
            <w:r w:rsidR="00911043">
              <w:t>.</w:t>
            </w:r>
            <w:r w:rsidRPr="001F3519">
              <w:rPr>
                <w:szCs w:val="20"/>
                <w:vertAlign w:val="superscript"/>
                <w:lang w:eastAsia="en-US"/>
              </w:rPr>
              <w:t xml:space="preserve"> </w:t>
            </w:r>
            <w:r w:rsidRPr="001F3519">
              <w:rPr>
                <w:szCs w:val="20"/>
                <w:vertAlign w:val="superscript"/>
                <w:lang w:eastAsia="en-US"/>
              </w:rPr>
              <w:footnoteReference w:id="2"/>
            </w:r>
          </w:p>
        </w:tc>
        <w:tc>
          <w:tcPr>
            <w:tcW w:w="674" w:type="pct"/>
          </w:tcPr>
          <w:p w14:paraId="036B10A7" w14:textId="77777777" w:rsidR="0037500E" w:rsidRPr="002B3452" w:rsidRDefault="0037500E" w:rsidP="00695012">
            <w:pPr>
              <w:widowControl w:val="0"/>
              <w:jc w:val="both"/>
              <w:rPr>
                <w:snapToGrid w:val="0"/>
              </w:rPr>
            </w:pPr>
          </w:p>
        </w:tc>
      </w:tr>
      <w:tr w:rsidR="00A051E5" w:rsidRPr="002B3452" w14:paraId="4FBF67F6" w14:textId="77777777" w:rsidTr="001F3519">
        <w:tc>
          <w:tcPr>
            <w:tcW w:w="1124" w:type="pct"/>
          </w:tcPr>
          <w:p w14:paraId="3C22B507" w14:textId="4E301052" w:rsidR="00A051E5" w:rsidRPr="002B3452" w:rsidRDefault="00A051E5" w:rsidP="00695012">
            <w:pPr>
              <w:widowControl w:val="0"/>
              <w:jc w:val="both"/>
              <w:rPr>
                <w:snapToGrid w:val="0"/>
              </w:rPr>
            </w:pPr>
            <w:r>
              <w:t xml:space="preserve">3. </w:t>
            </w:r>
            <w:r w:rsidRPr="0029323A">
              <w:t xml:space="preserve">Sprendimai įsigyti su teisėkūros procesu susijusias paslaugas nėra pagrįsti TPĮ 11 straipsnio 1 dalyje nustatytomis sąlygomis, ministerijose nėra tvarkų, kurios reglamentuotų tokių sprendimų priėmimo pagrindus, kriterijus (arba kiekvienu konkrečiu pirkimo atveju – dokumentuoto atitinkamo sprendimo). Tokie trūkumai antikorupciniu </w:t>
            </w:r>
            <w:r w:rsidRPr="0029323A">
              <w:lastRenderedPageBreak/>
              <w:t>požiūriu sudaro sąlygas piktnaudžiauti viešaisiais finansais, priimti nepagrįstus sprendimus, įgyvendinti neteisėtus susitarimus, mažina arba eliminuoja vidaus kontrolę, o iš privačių juridinių asmenų įsigyjant paslaugas, susijusias su teisėkūros procesu, kyla rizika dėl siaurų interesų tenkinimo, viešo intereso pažeidimo (žr. 3.3 skirsnio argumentus).</w:t>
            </w:r>
          </w:p>
        </w:tc>
        <w:tc>
          <w:tcPr>
            <w:tcW w:w="1127" w:type="pct"/>
          </w:tcPr>
          <w:p w14:paraId="1A879866" w14:textId="6BF96B82" w:rsidR="00A051E5" w:rsidRPr="002B3452" w:rsidRDefault="00A051E5" w:rsidP="00695012">
            <w:pPr>
              <w:widowControl w:val="0"/>
              <w:jc w:val="both"/>
              <w:rPr>
                <w:snapToGrid w:val="0"/>
              </w:rPr>
            </w:pPr>
            <w:r w:rsidRPr="0029323A">
              <w:lastRenderedPageBreak/>
              <w:t xml:space="preserve">Žemės ūkio ministerijoje būtų nustatyta teisinių paslaugų, susijusių su teisėkūros procesu, įsigijimo tvarka (arba aktualiomis nuostatomis būtų papildytos esamos viešųjų pirkimų procedūras reglamentuojančios tvarkos)  arba sprendimas įsigyti tokias paslaugas kiekvienu individualiu atveju būtų dokumentuotas ir objektyviai pagrindžiantis tokio poreikio </w:t>
            </w:r>
            <w:r w:rsidRPr="0029323A">
              <w:lastRenderedPageBreak/>
              <w:t>galimas sąlygas, nustatytas TPĮ 11 str. 1 d.</w:t>
            </w:r>
          </w:p>
        </w:tc>
        <w:tc>
          <w:tcPr>
            <w:tcW w:w="2075" w:type="pct"/>
          </w:tcPr>
          <w:p w14:paraId="52167EB5" w14:textId="77777777" w:rsidR="00A051E5" w:rsidRDefault="00526BF2" w:rsidP="00695012">
            <w:pPr>
              <w:widowControl w:val="0"/>
              <w:jc w:val="both"/>
              <w:rPr>
                <w:snapToGrid w:val="0"/>
              </w:rPr>
            </w:pPr>
            <w:r w:rsidRPr="00526BF2">
              <w:rPr>
                <w:snapToGrid w:val="0"/>
              </w:rPr>
              <w:lastRenderedPageBreak/>
              <w:t>Atsižvelgdami į rekomendaciją dėl teisinių paslaugų, susijusių su teisėkūros procesu, įsigijimo kontrolės, ministerija informuoja, kad ši rekomendacija yra įvykdyta, įgyvendinant STT pasiūlytą alternatyvą – užtikrinant, kad kiekvienu individualiu atveju sprendimas įsigyti tokias paslaugas būtų dokumentuotas ir objektyviai pagrįstas. Sprendimą dėl tokių paslaugų įsigijimo priima Žemės ūkio ministerijos kancleris.</w:t>
            </w:r>
          </w:p>
          <w:p w14:paraId="5EEE4623" w14:textId="3A7474FC" w:rsidR="00911043" w:rsidRPr="002B3452" w:rsidRDefault="00911043" w:rsidP="00695012">
            <w:pPr>
              <w:widowControl w:val="0"/>
              <w:jc w:val="both"/>
              <w:rPr>
                <w:snapToGrid w:val="0"/>
              </w:rPr>
            </w:pPr>
            <w:r w:rsidRPr="00911043">
              <w:rPr>
                <w:snapToGrid w:val="0"/>
              </w:rPr>
              <w:t xml:space="preserve">2026 m. gegužės 13 d. žemės ūkio ministro įsakymu Nr. 3D-240 pakeistas Lietuvos Respublikos žemės ūkio ministro 2025 m. gruodžio 4 d. įsakymas Nr. 3D-606 „Dėl Lietuvos Respublikos žemės ūkio ministerijos teisinių paslaugų pirkimų organizavimo ir vidaus kontrolės tvarkos aprašo </w:t>
            </w:r>
            <w:r w:rsidRPr="00911043">
              <w:rPr>
                <w:snapToGrid w:val="0"/>
              </w:rPr>
              <w:lastRenderedPageBreak/>
              <w:t>patvirtinimo“ (Aprašas atnaujintas iš esmės).</w:t>
            </w:r>
          </w:p>
        </w:tc>
        <w:tc>
          <w:tcPr>
            <w:tcW w:w="674" w:type="pct"/>
          </w:tcPr>
          <w:p w14:paraId="760598AF" w14:textId="77777777" w:rsidR="00A051E5" w:rsidRPr="002B3452" w:rsidRDefault="00A051E5" w:rsidP="00695012">
            <w:pPr>
              <w:widowControl w:val="0"/>
              <w:jc w:val="both"/>
              <w:rPr>
                <w:snapToGrid w:val="0"/>
              </w:rPr>
            </w:pPr>
          </w:p>
        </w:tc>
      </w:tr>
      <w:tr w:rsidR="00A051E5" w:rsidRPr="002B3452" w14:paraId="2877357A" w14:textId="77777777" w:rsidTr="001F3519">
        <w:tc>
          <w:tcPr>
            <w:tcW w:w="1124" w:type="pct"/>
          </w:tcPr>
          <w:p w14:paraId="034F87F7" w14:textId="5D7FDBC3" w:rsidR="00A051E5" w:rsidRPr="0029323A" w:rsidRDefault="00A051E5" w:rsidP="00695012">
            <w:pPr>
              <w:widowControl w:val="0"/>
              <w:jc w:val="both"/>
            </w:pPr>
            <w:r w:rsidRPr="00A051E5">
              <w:t xml:space="preserve">4. Analizės metu nustatytos Žuvininkystės įstatymo projekto derinimo, ŽŪM pirkimo vykdymo ir sutarties įgyvendinimo aplinkybės leidžia pagrįstai manyti, jog teisinių paslaugų teikimo viešieji pirkimai gali būti inicijuojami galimai net ir nesant tam Teisėkūros pagrindų įstatyme nustatytų pagrindų. Atliekant tokius pirkimus gali būti siekiama (ar) sudaromos galimybės suinteresuotiems asmenims teikti jiems (ar jų atstovaujamoms interesų grupėms) palankius teisės aktų projektus, o tai kelia neteisėtų susitarimų bei piktnaudžiavimo rizikas, tokiu </w:t>
            </w:r>
            <w:r w:rsidRPr="00A051E5">
              <w:lastRenderedPageBreak/>
              <w:t>būdu gali būti tenkinami tik tam tikrų interesų grupių poreikiais ir (ar) pažeisti viešieji interesai (žr. 3.4 skirsnio argumentus).</w:t>
            </w:r>
          </w:p>
        </w:tc>
        <w:tc>
          <w:tcPr>
            <w:tcW w:w="1127" w:type="pct"/>
          </w:tcPr>
          <w:p w14:paraId="1D1FB5D8" w14:textId="77777777" w:rsidR="00A051E5" w:rsidRPr="0029323A" w:rsidRDefault="00A051E5" w:rsidP="00695012">
            <w:pPr>
              <w:widowControl w:val="0"/>
              <w:jc w:val="both"/>
            </w:pPr>
          </w:p>
        </w:tc>
        <w:tc>
          <w:tcPr>
            <w:tcW w:w="2075" w:type="pct"/>
          </w:tcPr>
          <w:p w14:paraId="648FF244" w14:textId="04C53AF8" w:rsidR="00A051E5" w:rsidRPr="002B3452" w:rsidRDefault="00526BF2" w:rsidP="00695012">
            <w:pPr>
              <w:widowControl w:val="0"/>
              <w:jc w:val="both"/>
              <w:rPr>
                <w:snapToGrid w:val="0"/>
              </w:rPr>
            </w:pPr>
            <w:r w:rsidRPr="00526BF2">
              <w:rPr>
                <w:snapToGrid w:val="0"/>
              </w:rPr>
              <w:t>Atsižvelgdami į rekomendaciją dėl teisinių paslaugų, susijusių su teisėkūros procesu, įsigijimo kontrolės, ministerija informuoja, kad ši rekomendacija yra įvykdyta, įgyvendinant STT pasiūlytą alternatyvą dėl teisinių paslaugų įsigijimo</w:t>
            </w:r>
            <w:r>
              <w:rPr>
                <w:snapToGrid w:val="0"/>
              </w:rPr>
              <w:t xml:space="preserve"> </w:t>
            </w:r>
            <w:r w:rsidRPr="00526BF2">
              <w:rPr>
                <w:snapToGrid w:val="0"/>
              </w:rPr>
              <w:t>– užtikrinant, kad kiekvienu individualiu atveju sprendimas įsigyti tokias paslaugas būtų dokumentuotas ir objektyviai pagrįstas, o pirkimo procedūros atliekamos laikantis viešųjų pirkimų principų ir nebūtų pažeisti viešieji interesai. Sprendimą dėl tokių paslaugų įsigijimo priima Žemės ūkio ministerijos kancleris.</w:t>
            </w:r>
          </w:p>
        </w:tc>
        <w:tc>
          <w:tcPr>
            <w:tcW w:w="674" w:type="pct"/>
          </w:tcPr>
          <w:p w14:paraId="014E0089" w14:textId="77777777" w:rsidR="00A051E5" w:rsidRPr="002B3452" w:rsidRDefault="00A051E5" w:rsidP="00695012">
            <w:pPr>
              <w:widowControl w:val="0"/>
              <w:jc w:val="both"/>
              <w:rPr>
                <w:snapToGrid w:val="0"/>
              </w:rPr>
            </w:pPr>
          </w:p>
        </w:tc>
      </w:tr>
      <w:tr w:rsidR="00B7725F" w:rsidRPr="002B3452" w14:paraId="03948174" w14:textId="77777777" w:rsidTr="001F3519">
        <w:tc>
          <w:tcPr>
            <w:tcW w:w="1124" w:type="pct"/>
          </w:tcPr>
          <w:p w14:paraId="065169CB" w14:textId="53674287" w:rsidR="00B7725F" w:rsidRPr="0029323A" w:rsidRDefault="00B7725F" w:rsidP="00B7725F">
            <w:pPr>
              <w:widowControl w:val="0"/>
              <w:jc w:val="both"/>
            </w:pPr>
            <w:r>
              <w:rPr>
                <w:rFonts w:eastAsia="Calibri"/>
                <w:lang w:eastAsia="en-US"/>
              </w:rPr>
              <w:t xml:space="preserve">5. </w:t>
            </w:r>
            <w:r w:rsidRPr="00B76A37">
              <w:rPr>
                <w:rFonts w:eastAsia="Calibri"/>
                <w:lang w:eastAsia="en-US"/>
              </w:rPr>
              <w:t xml:space="preserve">Ilgalaikiai ir (ar) tendencingi perkančiosios organizacijos kreipimaisi į konkretų tiekėją,  rinkos tyrimo atlikimo, poreikio planavimo trūkumai ir kitos reikšmingos, analizės metu nustatytos aplinkybės,  gali sudaryti prielaidas korupcinėms apraiškoms – konkrečių tiekėjų protegavimui, šališkiems sprendimams, neskaidriems susitarimams bei neefektyviam viešųjų finansų valdymui, ribojant konkurenciją ir neieškant galimybių paslaugas įsigyti pigiau </w:t>
            </w:r>
            <w:r w:rsidRPr="00B76A37">
              <w:rPr>
                <w:rFonts w:eastAsia="Calibri"/>
                <w:i/>
                <w:iCs/>
              </w:rPr>
              <w:t>(žr. 3.5 skirsnio argumentus)</w:t>
            </w:r>
            <w:r w:rsidRPr="00B76A37">
              <w:rPr>
                <w:rFonts w:eastAsia="Calibri"/>
                <w:lang w:eastAsia="en-US"/>
              </w:rPr>
              <w:t>.</w:t>
            </w:r>
          </w:p>
        </w:tc>
        <w:tc>
          <w:tcPr>
            <w:tcW w:w="1127" w:type="pct"/>
          </w:tcPr>
          <w:p w14:paraId="7C5435C2" w14:textId="67AC4970" w:rsidR="00B7725F" w:rsidRPr="0029323A" w:rsidRDefault="00B7725F" w:rsidP="00B7725F">
            <w:pPr>
              <w:widowControl w:val="0"/>
              <w:jc w:val="both"/>
            </w:pPr>
            <w:r w:rsidRPr="00B76A37">
              <w:t>Žemės ūkio ministerijai – nustatyti, kad prieš įsigyjant teisines paslaugas (tiek pagal VPĮ procedūras, tiek taikant VPĮ išimtį) visais atvejais raštu būtų atliekamas rinkos tyrimas, apklausiant ne mažiau kaip 3 potencialius teikėjus</w:t>
            </w:r>
          </w:p>
        </w:tc>
        <w:tc>
          <w:tcPr>
            <w:tcW w:w="2075" w:type="pct"/>
          </w:tcPr>
          <w:p w14:paraId="459F4957" w14:textId="04334048" w:rsidR="00B7725F" w:rsidRPr="002B3452" w:rsidRDefault="00B7725F" w:rsidP="00B7725F">
            <w:pPr>
              <w:widowControl w:val="0"/>
              <w:jc w:val="both"/>
              <w:rPr>
                <w:snapToGrid w:val="0"/>
              </w:rPr>
            </w:pPr>
            <w:r>
              <w:t xml:space="preserve">2026 m. gegužės 13 d. žemės ūkio ministro įsakymu Nr. 3D-240 pakeistas </w:t>
            </w:r>
            <w:r w:rsidRPr="002929FF">
              <w:t>Lietuvos Respublikos žemės ūkio ministro 202</w:t>
            </w:r>
            <w:r>
              <w:t>5</w:t>
            </w:r>
            <w:r w:rsidRPr="002929FF">
              <w:t xml:space="preserve"> m. </w:t>
            </w:r>
            <w:r>
              <w:t>gruodžio 4</w:t>
            </w:r>
            <w:r w:rsidRPr="002929FF">
              <w:t xml:space="preserve"> d. įsakym</w:t>
            </w:r>
            <w:r>
              <w:t>as</w:t>
            </w:r>
            <w:r w:rsidRPr="002929FF">
              <w:t xml:space="preserve"> Nr. 3D-</w:t>
            </w:r>
            <w:r>
              <w:t>606</w:t>
            </w:r>
            <w:r w:rsidRPr="002929FF">
              <w:t xml:space="preserve"> „Dėl </w:t>
            </w:r>
            <w:r>
              <w:t>Lietuvos Respublikos ž</w:t>
            </w:r>
            <w:r w:rsidRPr="002929FF">
              <w:t xml:space="preserve">emės ūkio ministerijos </w:t>
            </w:r>
            <w:r w:rsidRPr="00F42B1D">
              <w:t>teisinių paslaugų pirkimų organizavimo ir vidaus kontrolės tvark</w:t>
            </w:r>
            <w:r>
              <w:t>os</w:t>
            </w:r>
            <w:r w:rsidRPr="002929FF">
              <w:t xml:space="preserve"> </w:t>
            </w:r>
            <w:r>
              <w:t>aprašo patvirtinimo“</w:t>
            </w:r>
            <w:r w:rsidR="001C1DF5">
              <w:t xml:space="preserve"> (žr. 7.1 p.)</w:t>
            </w:r>
          </w:p>
        </w:tc>
        <w:tc>
          <w:tcPr>
            <w:tcW w:w="674" w:type="pct"/>
          </w:tcPr>
          <w:p w14:paraId="0ACD5DCF" w14:textId="77777777" w:rsidR="00B7725F" w:rsidRPr="002B3452" w:rsidRDefault="00B7725F" w:rsidP="00B7725F">
            <w:pPr>
              <w:widowControl w:val="0"/>
              <w:jc w:val="both"/>
              <w:rPr>
                <w:snapToGrid w:val="0"/>
              </w:rPr>
            </w:pPr>
          </w:p>
        </w:tc>
      </w:tr>
      <w:tr w:rsidR="00B7725F" w:rsidRPr="002B3452" w14:paraId="22959D72" w14:textId="77777777" w:rsidTr="001F3519">
        <w:tc>
          <w:tcPr>
            <w:tcW w:w="5000" w:type="pct"/>
            <w:gridSpan w:val="4"/>
          </w:tcPr>
          <w:p w14:paraId="7D0421E7" w14:textId="77777777" w:rsidR="00B7725F" w:rsidRPr="008F1D8D" w:rsidRDefault="00B7725F" w:rsidP="00B7725F">
            <w:pPr>
              <w:pStyle w:val="Sraopastraipa"/>
              <w:widowControl w:val="0"/>
              <w:numPr>
                <w:ilvl w:val="0"/>
                <w:numId w:val="1"/>
              </w:numPr>
              <w:jc w:val="center"/>
              <w:rPr>
                <w:i/>
                <w:snapToGrid w:val="0"/>
              </w:rPr>
            </w:pPr>
            <w:r w:rsidRPr="008F1D8D">
              <w:rPr>
                <w:i/>
                <w:snapToGrid w:val="0"/>
              </w:rPr>
              <w:t>Kitos antikorupcinės pastabos</w:t>
            </w:r>
          </w:p>
        </w:tc>
      </w:tr>
      <w:tr w:rsidR="00B7725F" w:rsidRPr="002B3452" w14:paraId="5F7D1D8A" w14:textId="77777777" w:rsidTr="001F3519">
        <w:tc>
          <w:tcPr>
            <w:tcW w:w="1124" w:type="pct"/>
          </w:tcPr>
          <w:p w14:paraId="60C5E213" w14:textId="1BD56828" w:rsidR="00B7725F" w:rsidRPr="002B3452" w:rsidRDefault="00B7725F" w:rsidP="00B7725F">
            <w:pPr>
              <w:widowControl w:val="0"/>
              <w:jc w:val="both"/>
              <w:rPr>
                <w:snapToGrid w:val="0"/>
              </w:rPr>
            </w:pPr>
            <w:r w:rsidRPr="00B76A37">
              <w:rPr>
                <w:snapToGrid w:val="0"/>
              </w:rPr>
              <w:t xml:space="preserve">6. Nesant informacijos prieinamumui ir viešumui, teisinių paslaugų, įsigytų pagal VPĮ išimtį, procese gali būti sudaromos prielaidos subjektyviems sprendimams, neskaidriems susitarimams, taip pat nepaskelbus 7 sutarčių reikiamos informacijos ministerijos interneto </w:t>
            </w:r>
            <w:r w:rsidRPr="00B76A37">
              <w:rPr>
                <w:snapToGrid w:val="0"/>
              </w:rPr>
              <w:lastRenderedPageBreak/>
              <w:t xml:space="preserve">svetainėje ir teisės akto projekto lydimuosiuose dokumentuose (kai taikoma), kaip nustatyta TPĮ 11 str., apribojama visuomenės galimybė ir teisė žinoti apie tokių paslaugų įsigijimą bei, atitinkamai, įvairių subjektų dalyvavimą teisėkūros procese </w:t>
            </w:r>
            <w:r w:rsidRPr="00B76A37">
              <w:rPr>
                <w:i/>
                <w:iCs/>
                <w:snapToGrid w:val="0"/>
              </w:rPr>
              <w:t>(žr. 3.6 skirsnio argumentus)</w:t>
            </w:r>
            <w:r w:rsidRPr="00B76A37">
              <w:rPr>
                <w:snapToGrid w:val="0"/>
              </w:rPr>
              <w:t>.</w:t>
            </w:r>
          </w:p>
        </w:tc>
        <w:tc>
          <w:tcPr>
            <w:tcW w:w="1127" w:type="pct"/>
          </w:tcPr>
          <w:p w14:paraId="17DEB17C" w14:textId="77777777" w:rsidR="00B7725F" w:rsidRPr="00B76A37" w:rsidRDefault="00B7725F" w:rsidP="00B7725F">
            <w:pPr>
              <w:widowControl w:val="0"/>
              <w:jc w:val="both"/>
              <w:rPr>
                <w:snapToGrid w:val="0"/>
              </w:rPr>
            </w:pPr>
            <w:r w:rsidRPr="00B76A37">
              <w:rPr>
                <w:snapToGrid w:val="0"/>
              </w:rPr>
              <w:lastRenderedPageBreak/>
              <w:t>Žemės ūkio ministerijai:</w:t>
            </w:r>
          </w:p>
          <w:p w14:paraId="554BA88E" w14:textId="3267F150" w:rsidR="00B7725F" w:rsidRDefault="00B7725F" w:rsidP="00B7725F">
            <w:pPr>
              <w:widowControl w:val="0"/>
              <w:jc w:val="both"/>
              <w:rPr>
                <w:snapToGrid w:val="0"/>
              </w:rPr>
            </w:pPr>
            <w:r w:rsidRPr="00B76A37">
              <w:rPr>
                <w:snapToGrid w:val="0"/>
              </w:rPr>
              <w:t xml:space="preserve">pirkimų, kuriems taikoma VPĮ išimtis, parengtoje tvarkoje (kaip nurodyta 3.2. poskyrio pasiūlyme) nustatyti tokių pirkimų pagrindu sudarytų sutarčių informacijos paskelbimo priemones bei nustatyti kontrolės priemones, skirtas užtikrinti šių nuostatų </w:t>
            </w:r>
            <w:r w:rsidRPr="00B76A37">
              <w:rPr>
                <w:snapToGrid w:val="0"/>
              </w:rPr>
              <w:lastRenderedPageBreak/>
              <w:t>įgyvendinimą;</w:t>
            </w:r>
          </w:p>
          <w:p w14:paraId="52AE2C4B" w14:textId="77777777" w:rsidR="00B7725F" w:rsidRPr="00B76A37" w:rsidRDefault="00B7725F" w:rsidP="00B7725F">
            <w:pPr>
              <w:widowControl w:val="0"/>
              <w:jc w:val="both"/>
              <w:rPr>
                <w:snapToGrid w:val="0"/>
              </w:rPr>
            </w:pPr>
          </w:p>
          <w:p w14:paraId="227ECD91" w14:textId="58A16AB8" w:rsidR="00B7725F" w:rsidRPr="002B3452" w:rsidRDefault="00B7725F" w:rsidP="00B7725F">
            <w:pPr>
              <w:widowControl w:val="0"/>
              <w:jc w:val="both"/>
              <w:rPr>
                <w:snapToGrid w:val="0"/>
              </w:rPr>
            </w:pPr>
            <w:r w:rsidRPr="00B76A37">
              <w:rPr>
                <w:snapToGrid w:val="0"/>
              </w:rPr>
              <w:t>parengtoje tvarkoje (kaip nurodyta KRA 3.3. poskyrio pasiūlyme) nustatyti informacijos paskelbimo priemones, įgyvendinančias TPĮ 11 straipsnio 2 ir 3 dalies nuostatas, bei nustatyti kontrolės priemones, kurios užtikrintų šių nuostatų laikymąsi.</w:t>
            </w:r>
          </w:p>
        </w:tc>
        <w:tc>
          <w:tcPr>
            <w:tcW w:w="2075" w:type="pct"/>
          </w:tcPr>
          <w:p w14:paraId="75A10545" w14:textId="6AAA51E5" w:rsidR="00B7725F" w:rsidRPr="002B3452" w:rsidRDefault="00B7725F" w:rsidP="00B7725F">
            <w:pPr>
              <w:widowControl w:val="0"/>
              <w:jc w:val="both"/>
              <w:rPr>
                <w:snapToGrid w:val="0"/>
              </w:rPr>
            </w:pPr>
            <w:r>
              <w:lastRenderedPageBreak/>
              <w:t xml:space="preserve">2026 m. gegužės 13 d. žemės ūkio ministro įsakymu Nr. 3D-240 pakeistas </w:t>
            </w:r>
            <w:r w:rsidRPr="002929FF">
              <w:t>Lietuvos Respublikos žemės ūkio ministro 202</w:t>
            </w:r>
            <w:r>
              <w:t>5</w:t>
            </w:r>
            <w:r w:rsidRPr="002929FF">
              <w:t xml:space="preserve"> m. </w:t>
            </w:r>
            <w:r>
              <w:t>gruodžio 4</w:t>
            </w:r>
            <w:r w:rsidRPr="002929FF">
              <w:t xml:space="preserve"> d. įsakym</w:t>
            </w:r>
            <w:r>
              <w:t>as</w:t>
            </w:r>
            <w:r w:rsidRPr="002929FF">
              <w:t xml:space="preserve"> Nr. 3D-</w:t>
            </w:r>
            <w:r>
              <w:t>606</w:t>
            </w:r>
            <w:r w:rsidRPr="002929FF">
              <w:t xml:space="preserve"> „Dėl </w:t>
            </w:r>
            <w:r>
              <w:t>Lietuvos Respublikos ž</w:t>
            </w:r>
            <w:r w:rsidRPr="002929FF">
              <w:t xml:space="preserve">emės ūkio ministerijos </w:t>
            </w:r>
            <w:r w:rsidRPr="00F42B1D">
              <w:t>teisinių paslaugų pirkimų organizavimo ir vidaus kontrolės tvark</w:t>
            </w:r>
            <w:r>
              <w:t>os</w:t>
            </w:r>
            <w:r w:rsidRPr="002929FF">
              <w:t xml:space="preserve"> </w:t>
            </w:r>
            <w:r>
              <w:t>aprašo patvirtinimo“</w:t>
            </w:r>
            <w:r w:rsidR="001C1DF5">
              <w:t xml:space="preserve"> (žr. 8 p., IV skyrius)</w:t>
            </w:r>
          </w:p>
        </w:tc>
        <w:tc>
          <w:tcPr>
            <w:tcW w:w="674" w:type="pct"/>
          </w:tcPr>
          <w:p w14:paraId="3D5420DA" w14:textId="77777777" w:rsidR="00B7725F" w:rsidRPr="002B3452" w:rsidRDefault="00B7725F" w:rsidP="00B7725F">
            <w:pPr>
              <w:widowControl w:val="0"/>
              <w:jc w:val="both"/>
              <w:rPr>
                <w:snapToGrid w:val="0"/>
              </w:rPr>
            </w:pPr>
          </w:p>
        </w:tc>
      </w:tr>
      <w:tr w:rsidR="00B7725F" w:rsidRPr="002B3452" w14:paraId="5895B7B1" w14:textId="77777777" w:rsidTr="001F3519">
        <w:tc>
          <w:tcPr>
            <w:tcW w:w="1124" w:type="pct"/>
          </w:tcPr>
          <w:p w14:paraId="5DE328DF" w14:textId="51F4AEF5" w:rsidR="00B7725F" w:rsidRPr="002B3452" w:rsidRDefault="00B7725F" w:rsidP="00B7725F">
            <w:pPr>
              <w:widowControl w:val="0"/>
              <w:jc w:val="both"/>
              <w:rPr>
                <w:snapToGrid w:val="0"/>
              </w:rPr>
            </w:pPr>
            <w:r>
              <w:rPr>
                <w:rFonts w:eastAsia="Calibri"/>
                <w:lang w:eastAsia="en-US"/>
              </w:rPr>
              <w:t xml:space="preserve">7. </w:t>
            </w:r>
            <w:r w:rsidRPr="00B76A37">
              <w:rPr>
                <w:rFonts w:eastAsia="Calibri"/>
                <w:lang w:eastAsia="en-US"/>
              </w:rPr>
              <w:t xml:space="preserve">Nei vienoje iš ministerijų, kurios neturėjo patvirtintų tvarkų, tačiau sudarė atstovavimo ir teisinių konsultacijų paslaugų sutartis pagal VPĮ nustatytą išimtį, ši sritis nebuvo įtraukta nei į korupcijos prevencijos priemones, kurios įgyvendinamos viešojo sektoriaus subjektų, nei į ministerijų centralizuotų vidaus audito metinius planus, o tai ribojo galimybes </w:t>
            </w:r>
            <w:proofErr w:type="spellStart"/>
            <w:r w:rsidRPr="00B76A37">
              <w:rPr>
                <w:rFonts w:eastAsia="Calibri"/>
                <w:lang w:eastAsia="en-US"/>
              </w:rPr>
              <w:t>proaktyvių</w:t>
            </w:r>
            <w:proofErr w:type="spellEnd"/>
            <w:r w:rsidRPr="00B76A37">
              <w:rPr>
                <w:rFonts w:eastAsia="Calibri"/>
                <w:lang w:eastAsia="en-US"/>
              </w:rPr>
              <w:t xml:space="preserve"> korupcijos riziką mažinančių veiksmų diegimui bei vidaus kontrolės tobulinimui. Šių pirkimų vykdymo procedūros taip pat nepatenka į VPT pirkimų pažeidimų prevencijos ir kontrolės atsakomybės sritį. </w:t>
            </w:r>
            <w:r w:rsidRPr="00B76A37">
              <w:rPr>
                <w:rFonts w:eastAsia="Calibri"/>
                <w:lang w:eastAsia="en-US"/>
              </w:rPr>
              <w:lastRenderedPageBreak/>
              <w:t xml:space="preserve">Antikorupciniu požiūriu tai kelią rizikas, susijusias su visais pirkimų procedūros etapais, sudaro sąlygas piktnaudžiavimui, neteisėtiems, nepagrįstiems sprendimams, gali turėti neigiamą įtaką konkurencijai ir visuomenės pasitikėjimui viešųjų subjektų galimybe efektyviai ir skaidriai valdyti viešuosius finansus </w:t>
            </w:r>
            <w:r w:rsidRPr="00B76A37">
              <w:rPr>
                <w:rFonts w:eastAsia="Calibri"/>
                <w:i/>
                <w:iCs/>
              </w:rPr>
              <w:t>(žr. 3.7 skirsnio argumentus)</w:t>
            </w:r>
            <w:r w:rsidRPr="00B76A37">
              <w:rPr>
                <w:rFonts w:eastAsia="Calibri"/>
                <w:lang w:eastAsia="en-US"/>
              </w:rPr>
              <w:t>.</w:t>
            </w:r>
          </w:p>
        </w:tc>
        <w:tc>
          <w:tcPr>
            <w:tcW w:w="1127" w:type="pct"/>
          </w:tcPr>
          <w:p w14:paraId="6EA3E8DF" w14:textId="06464272" w:rsidR="00B7725F" w:rsidRPr="002B3452" w:rsidRDefault="00B7725F" w:rsidP="00B7725F">
            <w:pPr>
              <w:widowControl w:val="0"/>
              <w:jc w:val="both"/>
              <w:rPr>
                <w:snapToGrid w:val="0"/>
              </w:rPr>
            </w:pPr>
            <w:r w:rsidRPr="00B76A37">
              <w:rPr>
                <w:rFonts w:eastAsia="Calibri"/>
                <w:lang w:eastAsia="en-US"/>
              </w:rPr>
              <w:lastRenderedPageBreak/>
              <w:t>Žemės ūkio ministerijai – periodiškai įvertinti teisinių paslaugų pirkimų, kuriems taikoma VPĮ išimtis, vykdymo, sutarties sudarymo ir įgyvendinimo procedūrų rizikingumą bei, atsižvelgiant į vertinimo rezultatus, nustatyti atitinkamas rizikos valdymo priemones.</w:t>
            </w:r>
          </w:p>
        </w:tc>
        <w:tc>
          <w:tcPr>
            <w:tcW w:w="2075" w:type="pct"/>
          </w:tcPr>
          <w:p w14:paraId="2129A880" w14:textId="243C5150" w:rsidR="00B7725F" w:rsidRPr="002B3452" w:rsidRDefault="00B7725F" w:rsidP="00B7725F">
            <w:pPr>
              <w:widowControl w:val="0"/>
              <w:jc w:val="both"/>
              <w:rPr>
                <w:snapToGrid w:val="0"/>
              </w:rPr>
            </w:pPr>
            <w:r>
              <w:t xml:space="preserve">2026 m. gegužės 13 d. žemės ūkio ministro įsakymu Nr. 3D-240 pakeistas </w:t>
            </w:r>
            <w:r w:rsidRPr="002929FF">
              <w:t>Lietuvos Respublikos žemės ūkio ministro 202</w:t>
            </w:r>
            <w:r>
              <w:t>5</w:t>
            </w:r>
            <w:r w:rsidRPr="002929FF">
              <w:t xml:space="preserve"> m. </w:t>
            </w:r>
            <w:r>
              <w:t>gruodžio 4</w:t>
            </w:r>
            <w:r w:rsidRPr="002929FF">
              <w:t xml:space="preserve"> d. įsakym</w:t>
            </w:r>
            <w:r>
              <w:t>as</w:t>
            </w:r>
            <w:r w:rsidRPr="002929FF">
              <w:t xml:space="preserve"> Nr. 3D-</w:t>
            </w:r>
            <w:r>
              <w:t>606</w:t>
            </w:r>
            <w:r w:rsidRPr="002929FF">
              <w:t xml:space="preserve"> „Dėl </w:t>
            </w:r>
            <w:r>
              <w:t>Lietuvos Respublikos ž</w:t>
            </w:r>
            <w:r w:rsidRPr="002929FF">
              <w:t xml:space="preserve">emės ūkio ministerijos </w:t>
            </w:r>
            <w:r w:rsidRPr="00F42B1D">
              <w:t>teisinių paslaugų pirkimų organizavimo ir vidaus kontrolės tvark</w:t>
            </w:r>
            <w:r>
              <w:t>os</w:t>
            </w:r>
            <w:r w:rsidRPr="002929FF">
              <w:t xml:space="preserve"> </w:t>
            </w:r>
            <w:r>
              <w:t>aprašo patvirtinimo“</w:t>
            </w:r>
            <w:r w:rsidR="001C1DF5">
              <w:t xml:space="preserve"> (</w:t>
            </w:r>
            <w:r w:rsidR="006C31D8">
              <w:t xml:space="preserve">žr. </w:t>
            </w:r>
            <w:r w:rsidR="001C1DF5">
              <w:t>IV skyrius</w:t>
            </w:r>
            <w:r w:rsidR="006F57C6">
              <w:t>)</w:t>
            </w:r>
            <w:r w:rsidR="00A72481">
              <w:t>.</w:t>
            </w:r>
          </w:p>
        </w:tc>
        <w:tc>
          <w:tcPr>
            <w:tcW w:w="674" w:type="pct"/>
          </w:tcPr>
          <w:p w14:paraId="56320925" w14:textId="77777777" w:rsidR="00B7725F" w:rsidRPr="002B3452" w:rsidRDefault="00B7725F" w:rsidP="00B7725F">
            <w:pPr>
              <w:widowControl w:val="0"/>
              <w:jc w:val="both"/>
              <w:rPr>
                <w:snapToGrid w:val="0"/>
              </w:rPr>
            </w:pPr>
          </w:p>
        </w:tc>
      </w:tr>
    </w:tbl>
    <w:p w14:paraId="4B5C8188" w14:textId="77777777" w:rsidR="0034418E" w:rsidRDefault="0034418E" w:rsidP="0034418E">
      <w:pPr>
        <w:spacing w:line="360" w:lineRule="auto"/>
        <w:ind w:firstLine="851"/>
        <w:jc w:val="center"/>
        <w:rPr>
          <w:lang w:eastAsia="en-US"/>
        </w:rPr>
      </w:pPr>
    </w:p>
    <w:p w14:paraId="711CD6BD" w14:textId="045806A9" w:rsidR="000C5806" w:rsidRDefault="0034418E" w:rsidP="0034418E">
      <w:pPr>
        <w:jc w:val="center"/>
      </w:pPr>
      <w:r>
        <w:t>____________</w:t>
      </w:r>
      <w:r w:rsidR="00B76A37">
        <w:t>______</w:t>
      </w:r>
    </w:p>
    <w:sectPr w:rsidR="000C5806" w:rsidSect="001F3519">
      <w:type w:val="continuous"/>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2313" w14:textId="77777777" w:rsidR="005F77FC" w:rsidRDefault="005F77FC" w:rsidP="00694944">
      <w:r>
        <w:separator/>
      </w:r>
    </w:p>
  </w:endnote>
  <w:endnote w:type="continuationSeparator" w:id="0">
    <w:p w14:paraId="50B95194" w14:textId="77777777" w:rsidR="005F77FC" w:rsidRDefault="005F77FC"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06AA" w14:textId="77777777" w:rsidR="005F77FC" w:rsidRDefault="005F77FC" w:rsidP="00694944">
      <w:r>
        <w:separator/>
      </w:r>
    </w:p>
  </w:footnote>
  <w:footnote w:type="continuationSeparator" w:id="0">
    <w:p w14:paraId="5DE1E1AF" w14:textId="77777777" w:rsidR="005F77FC" w:rsidRDefault="005F77FC" w:rsidP="00694944">
      <w:r>
        <w:continuationSeparator/>
      </w:r>
    </w:p>
  </w:footnote>
  <w:footnote w:id="1">
    <w:p w14:paraId="6918AC0F" w14:textId="2BF1D97C" w:rsidR="0056273A" w:rsidRDefault="0056273A">
      <w:pPr>
        <w:pStyle w:val="Puslapioinaostekstas"/>
        <w:rPr>
          <w:rFonts w:asciiTheme="majorBidi" w:hAnsiTheme="majorBidi" w:cstheme="majorBidi"/>
        </w:rPr>
      </w:pPr>
      <w:r w:rsidRPr="004B4643">
        <w:rPr>
          <w:rStyle w:val="Puslapioinaosnuoroda"/>
          <w:rFonts w:asciiTheme="majorBidi" w:hAnsiTheme="majorBidi" w:cstheme="majorBidi"/>
        </w:rPr>
        <w:footnoteRef/>
      </w:r>
      <w:r w:rsidR="004B4643">
        <w:rPr>
          <w:rFonts w:asciiTheme="majorBidi" w:hAnsiTheme="majorBidi" w:cstheme="majorBidi"/>
        </w:rPr>
        <w:t xml:space="preserve"> </w:t>
      </w:r>
      <w:hyperlink r:id="rId1" w:history="1">
        <w:r w:rsidR="004B4643" w:rsidRPr="00AA43AD">
          <w:rPr>
            <w:rStyle w:val="Hipersaitas"/>
            <w:rFonts w:asciiTheme="majorBidi" w:hAnsiTheme="majorBidi" w:cstheme="majorBidi"/>
          </w:rPr>
          <w:t>https://zum.lrv.lt/lt/administracine-informacija/viesieji-pirkimai/zemes-ukio-ministerijos-teises-aktai-reglamentuojantys-viesuju-pirkimu-organizavima-ir-vykdyma/</w:t>
        </w:r>
      </w:hyperlink>
    </w:p>
    <w:p w14:paraId="5173D47C" w14:textId="77777777" w:rsidR="004B4643" w:rsidRPr="004B4643" w:rsidRDefault="004B4643">
      <w:pPr>
        <w:pStyle w:val="Puslapioinaostekstas"/>
        <w:rPr>
          <w:rFonts w:asciiTheme="majorBidi" w:hAnsiTheme="majorBidi" w:cstheme="majorBidi"/>
        </w:rPr>
      </w:pPr>
    </w:p>
  </w:footnote>
  <w:footnote w:id="2">
    <w:p w14:paraId="0BF8C51D" w14:textId="63B6135B" w:rsidR="001F3519" w:rsidRPr="00DD7C27" w:rsidRDefault="001F3519" w:rsidP="001F3519">
      <w:pPr>
        <w:ind w:firstLine="720"/>
        <w:rPr>
          <w:sz w:val="20"/>
        </w:rPr>
      </w:pPr>
      <w:r>
        <w:rPr>
          <w:rStyle w:val="Puslapioinaosnuoroda"/>
        </w:rPr>
        <w:footnoteRef/>
      </w:r>
      <w:r>
        <w:t xml:space="preserve"> </w:t>
      </w:r>
      <w:r w:rsidRPr="001F3519">
        <w:rPr>
          <w:sz w:val="20"/>
        </w:rPr>
        <w:t>Lietuvos Respublikos žemės ūkio ministerijos teisinių paslaugų pirkimų organizavimo ir vidaus kontrolės tvarkos aprašas, patvirtintas Lietuvos Respublikos žemės ūkio ministro 2025 m. gruodžio 4 d. įsakym</w:t>
      </w:r>
      <w:r w:rsidR="00526BF2">
        <w:rPr>
          <w:sz w:val="20"/>
        </w:rPr>
        <w:t>as</w:t>
      </w:r>
      <w:r w:rsidRPr="001F3519">
        <w:rPr>
          <w:sz w:val="20"/>
        </w:rPr>
        <w:t xml:space="preserve"> Nr. 3D-606 „Dėl Lietuvos Respublikos žemės ūkio ministerijos teisinių paslaugų pirkimų organizavimo ir vidaus kontrolės tvarkos aprašo patvirtinimo“ (</w:t>
      </w:r>
      <w:hyperlink r:id="rId2" w:history="1">
        <w:r w:rsidRPr="00526BF2">
          <w:rPr>
            <w:rStyle w:val="Hipersaitas"/>
            <w:sz w:val="20"/>
          </w:rPr>
          <w:t>aktuali redakcija</w:t>
        </w:r>
      </w:hyperlink>
      <w:r w:rsidRPr="001F3519">
        <w:rPr>
          <w:sz w:val="20"/>
        </w:rPr>
        <w:t>)</w:t>
      </w:r>
      <w:r w:rsidRPr="00DD7C27">
        <w:rPr>
          <w:sz w:val="20"/>
        </w:rPr>
        <w:t>.</w:t>
      </w:r>
    </w:p>
    <w:p w14:paraId="61AE8E79" w14:textId="77777777" w:rsidR="001F3519" w:rsidRPr="00DD7C27" w:rsidRDefault="001F3519" w:rsidP="001F351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849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4C02"/>
    <w:rsid w:val="00040139"/>
    <w:rsid w:val="00046191"/>
    <w:rsid w:val="000601F4"/>
    <w:rsid w:val="000C5806"/>
    <w:rsid w:val="000D63E8"/>
    <w:rsid w:val="00156233"/>
    <w:rsid w:val="001820B6"/>
    <w:rsid w:val="001C1DF5"/>
    <w:rsid w:val="001F3519"/>
    <w:rsid w:val="00205E41"/>
    <w:rsid w:val="00226298"/>
    <w:rsid w:val="00270C62"/>
    <w:rsid w:val="002A1711"/>
    <w:rsid w:val="002D1776"/>
    <w:rsid w:val="002E6C6C"/>
    <w:rsid w:val="0034418E"/>
    <w:rsid w:val="0037500E"/>
    <w:rsid w:val="003826DC"/>
    <w:rsid w:val="00383F51"/>
    <w:rsid w:val="003E50E6"/>
    <w:rsid w:val="003E7DC1"/>
    <w:rsid w:val="00442AB7"/>
    <w:rsid w:val="004818D2"/>
    <w:rsid w:val="004A6B28"/>
    <w:rsid w:val="004B4643"/>
    <w:rsid w:val="00526BF2"/>
    <w:rsid w:val="005548F1"/>
    <w:rsid w:val="0056273A"/>
    <w:rsid w:val="005D4659"/>
    <w:rsid w:val="005E1894"/>
    <w:rsid w:val="005F77FC"/>
    <w:rsid w:val="00625300"/>
    <w:rsid w:val="006700B4"/>
    <w:rsid w:val="00694944"/>
    <w:rsid w:val="00695012"/>
    <w:rsid w:val="006C31D8"/>
    <w:rsid w:val="006F57C6"/>
    <w:rsid w:val="00710319"/>
    <w:rsid w:val="00723F62"/>
    <w:rsid w:val="007958B3"/>
    <w:rsid w:val="00821598"/>
    <w:rsid w:val="008351F0"/>
    <w:rsid w:val="008F6DF3"/>
    <w:rsid w:val="00911043"/>
    <w:rsid w:val="009374B9"/>
    <w:rsid w:val="00986ADC"/>
    <w:rsid w:val="009D19B0"/>
    <w:rsid w:val="00A051E5"/>
    <w:rsid w:val="00A53B08"/>
    <w:rsid w:val="00A72329"/>
    <w:rsid w:val="00A72481"/>
    <w:rsid w:val="00AF0532"/>
    <w:rsid w:val="00B2318E"/>
    <w:rsid w:val="00B76A37"/>
    <w:rsid w:val="00B7725F"/>
    <w:rsid w:val="00B85DA1"/>
    <w:rsid w:val="00BB32CD"/>
    <w:rsid w:val="00BC76DC"/>
    <w:rsid w:val="00C53629"/>
    <w:rsid w:val="00C602B0"/>
    <w:rsid w:val="00C94A65"/>
    <w:rsid w:val="00CE191F"/>
    <w:rsid w:val="00D07F3C"/>
    <w:rsid w:val="00D701BB"/>
    <w:rsid w:val="00E20495"/>
    <w:rsid w:val="00E65C53"/>
    <w:rsid w:val="00E868B0"/>
    <w:rsid w:val="00E92AD2"/>
    <w:rsid w:val="00EF068B"/>
    <w:rsid w:val="00EF6B06"/>
    <w:rsid w:val="00EF7971"/>
    <w:rsid w:val="00F35E9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paragraph" w:styleId="Antrats">
    <w:name w:val="header"/>
    <w:basedOn w:val="prastasis"/>
    <w:link w:val="AntratsDiagrama"/>
    <w:uiPriority w:val="99"/>
    <w:unhideWhenUsed/>
    <w:rsid w:val="001F3519"/>
    <w:pPr>
      <w:tabs>
        <w:tab w:val="center" w:pos="4680"/>
        <w:tab w:val="right" w:pos="9360"/>
      </w:tabs>
    </w:pPr>
  </w:style>
  <w:style w:type="character" w:customStyle="1" w:styleId="AntratsDiagrama">
    <w:name w:val="Antraštės Diagrama"/>
    <w:basedOn w:val="Numatytasispastraiposriftas"/>
    <w:link w:val="Antrats"/>
    <w:uiPriority w:val="99"/>
    <w:rsid w:val="001F351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F3519"/>
    <w:pPr>
      <w:tabs>
        <w:tab w:val="center" w:pos="4680"/>
        <w:tab w:val="right" w:pos="9360"/>
      </w:tabs>
    </w:pPr>
  </w:style>
  <w:style w:type="character" w:customStyle="1" w:styleId="PoratDiagrama">
    <w:name w:val="Poraštė Diagrama"/>
    <w:basedOn w:val="Numatytasispastraiposriftas"/>
    <w:link w:val="Porat"/>
    <w:uiPriority w:val="99"/>
    <w:rsid w:val="001F3519"/>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26BF2"/>
    <w:rPr>
      <w:color w:val="0563C1" w:themeColor="hyperlink"/>
      <w:u w:val="single"/>
    </w:rPr>
  </w:style>
  <w:style w:type="character" w:styleId="Neapdorotaspaminjimas">
    <w:name w:val="Unresolved Mention"/>
    <w:basedOn w:val="Numatytasispastraiposriftas"/>
    <w:uiPriority w:val="99"/>
    <w:semiHidden/>
    <w:unhideWhenUsed/>
    <w:rsid w:val="00526BF2"/>
    <w:rPr>
      <w:color w:val="605E5C"/>
      <w:shd w:val="clear" w:color="auto" w:fill="E1DFDD"/>
    </w:rPr>
  </w:style>
  <w:style w:type="character" w:styleId="Perirtashipersaitas">
    <w:name w:val="FollowedHyperlink"/>
    <w:basedOn w:val="Numatytasispastraiposriftas"/>
    <w:uiPriority w:val="99"/>
    <w:semiHidden/>
    <w:unhideWhenUsed/>
    <w:rsid w:val="00526BF2"/>
    <w:rPr>
      <w:color w:val="954F72" w:themeColor="followedHyperlink"/>
      <w:u w:val="single"/>
    </w:rPr>
  </w:style>
  <w:style w:type="character" w:styleId="Komentaronuoroda">
    <w:name w:val="annotation reference"/>
    <w:basedOn w:val="Numatytasispastraiposriftas"/>
    <w:uiPriority w:val="99"/>
    <w:semiHidden/>
    <w:unhideWhenUsed/>
    <w:rsid w:val="00A72481"/>
    <w:rPr>
      <w:sz w:val="16"/>
      <w:szCs w:val="16"/>
    </w:rPr>
  </w:style>
  <w:style w:type="paragraph" w:styleId="Komentarotekstas">
    <w:name w:val="annotation text"/>
    <w:basedOn w:val="prastasis"/>
    <w:link w:val="KomentarotekstasDiagrama"/>
    <w:uiPriority w:val="99"/>
    <w:unhideWhenUsed/>
    <w:rsid w:val="00A72481"/>
    <w:rPr>
      <w:sz w:val="20"/>
      <w:szCs w:val="20"/>
    </w:rPr>
  </w:style>
  <w:style w:type="character" w:customStyle="1" w:styleId="KomentarotekstasDiagrama">
    <w:name w:val="Komentaro tekstas Diagrama"/>
    <w:basedOn w:val="Numatytasispastraiposriftas"/>
    <w:link w:val="Komentarotekstas"/>
    <w:uiPriority w:val="99"/>
    <w:rsid w:val="00A7248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72481"/>
    <w:rPr>
      <w:b/>
      <w:bCs/>
    </w:rPr>
  </w:style>
  <w:style w:type="character" w:customStyle="1" w:styleId="KomentarotemaDiagrama">
    <w:name w:val="Komentaro tema Diagrama"/>
    <w:basedOn w:val="KomentarotekstasDiagrama"/>
    <w:link w:val="Komentarotema"/>
    <w:uiPriority w:val="99"/>
    <w:semiHidden/>
    <w:rsid w:val="00A72481"/>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zum.lrv.lt/lt/administracine-informacija/viesieji-pirkimai/teisiniu-paslaugu-kurioms-isigyti-netaikomi-lietuvos-respublikos-viesuju-pirkimu-istatymo-reikalavimai-pirkimo-taisykles/" TargetMode="External"/><Relationship Id="rId1" Type="http://schemas.openxmlformats.org/officeDocument/2006/relationships/hyperlink" Target="https://zum.lrv.lt/lt/administracine-informacija/viesieji-pirkimai/zemes-ukio-ministerijos-teises-aktai-reglamentuojantys-viesuju-pirkimu-organizavima-ir-vykdym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3AD8F-82DE-4BA8-8A0E-7ECE3605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6590</Words>
  <Characters>3757</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Rasa Tašlinskienė</cp:lastModifiedBy>
  <cp:revision>5</cp:revision>
  <dcterms:created xsi:type="dcterms:W3CDTF">2026-07-01T05:47:00Z</dcterms:created>
  <dcterms:modified xsi:type="dcterms:W3CDTF">2026-07-01T07:11:00Z</dcterms:modified>
</cp:coreProperties>
</file>