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680"/>
          <w:tab w:val="right" w:pos="9360"/>
        </w:tabs>
        <w:jc w:val="right"/>
        <w:rPr>
          <w:b/>
          <w:bCs/>
          <w:szCs w:val="24"/>
          <w:lang w:eastAsia="lt-LT"/>
        </w:rPr>
      </w:pPr>
      <w:r>
        <w:rPr>
          <w:b/>
          <w:bCs/>
          <w:szCs w:val="24"/>
          <w:lang w:eastAsia="lt-LT"/>
        </w:rPr>
        <w:t xml:space="preserve">Projektas </w:t>
      </w:r>
    </w:p>
    <w:p>
      <w:pPr>
        <w:tabs>
          <w:tab w:val="center" w:pos="4986"/>
          <w:tab w:val="right" w:pos="9972"/>
        </w:tabs>
      </w:pPr>
    </w:p>
    <w:p>
      <w:pPr>
        <w:tabs>
          <w:tab w:val="center" w:pos="4986"/>
          <w:tab w:val="right" w:pos="9972"/>
        </w:tabs>
        <w:jc w:val="center"/>
      </w:pPr>
    </w:p>
    <w:p>
      <w:pPr>
        <w:overflowPunct w:val="0"/>
        <w:jc w:val="center"/>
        <w:textAlignment w:val="baseline"/>
        <w:rPr>
          <w:b/>
          <w:sz w:val="22"/>
          <w:szCs w:val="22"/>
        </w:rPr>
      </w:pPr>
      <w:r>
        <w:rPr>
          <w:b/>
          <w:sz w:val="28"/>
          <w:szCs w:val="28"/>
        </w:rPr>
        <w:t>LIETUVOS RESPUBLIKOS ŽEMĖS ŪKIO MINISTRAS</w:t>
      </w:r>
    </w:p>
    <w:p>
      <w:pPr>
        <w:overflowPunct w:val="0"/>
        <w:jc w:val="center"/>
        <w:textAlignment w:val="baseline"/>
        <w:rPr>
          <w:b/>
          <w:sz w:val="22"/>
          <w:szCs w:val="22"/>
        </w:rPr>
      </w:pPr>
    </w:p>
    <w:p>
      <w:pPr>
        <w:overflowPunct w:val="0"/>
        <w:jc w:val="center"/>
        <w:textAlignment w:val="baseline"/>
        <w:rPr>
          <w:b/>
          <w:caps/>
          <w:szCs w:val="24"/>
        </w:rPr>
      </w:pPr>
      <w:r>
        <w:rPr>
          <w:b/>
          <w:caps/>
          <w:szCs w:val="24"/>
        </w:rPr>
        <w:t>ĮSAKYMAS</w:t>
      </w:r>
    </w:p>
    <w:p>
      <w:pPr>
        <w:overflowPunct w:val="0"/>
        <w:jc w:val="center"/>
        <w:textAlignment w:val="baseline"/>
        <w:rPr>
          <w:b/>
          <w:caps/>
          <w:szCs w:val="24"/>
        </w:rPr>
      </w:pPr>
      <w:r>
        <w:rPr>
          <w:b/>
          <w:caps/>
          <w:szCs w:val="24"/>
        </w:rPr>
        <w:t>DĖL ŽEMĖS ŪKIO MINISTRO 2024 M. RUGSĖJO 10 D. ĮSAKYMO NR. 3D-640 „DĖL LIETUVOS ŽUVININKYSTĖS SEKTORIAUS 2021‒2027 METŲ PROGRAMOS PIRMOJO PRIORITETO „TAUSIOS ŽVEJYBOS SKATINIMAS IR VANDENS BIOLOGINIŲ IŠTEKLIŲ ATKŪRIMAS IR IŠSAUGOJIMAS“ PRIEMONĖS „Paukščius apsaugančių žvejybos valdymo priemonių taikymo ir žinduolių, kurie saugomi, daromos žalos kompensavimo sistemos“ KOMPENSACIJŲ SKYRIMO SĄLYGŲ APRAŠO PATVIRTINIMO“ PAKEITIMO</w:t>
      </w:r>
    </w:p>
    <w:p>
      <w:pPr>
        <w:overflowPunct w:val="0"/>
        <w:jc w:val="center"/>
        <w:textAlignment w:val="baseline"/>
        <w:rPr>
          <w:sz w:val="22"/>
          <w:szCs w:val="22"/>
        </w:rPr>
      </w:pPr>
    </w:p>
    <w:p>
      <w:pPr>
        <w:overflowPunct w:val="0"/>
        <w:jc w:val="center"/>
        <w:textAlignment w:val="baseline"/>
        <w:rPr>
          <w:sz w:val="22"/>
          <w:szCs w:val="22"/>
        </w:rPr>
      </w:pPr>
    </w:p>
    <w:p>
      <w:pPr>
        <w:tabs>
          <w:tab w:val="left" w:pos="709"/>
        </w:tabs>
        <w:overflowPunct w:val="0"/>
        <w:jc w:val="center"/>
        <w:textAlignment w:val="baseline"/>
        <w:rPr>
          <w:szCs w:val="24"/>
        </w:rPr>
      </w:pPr>
      <w:r>
        <w:rPr>
          <w:szCs w:val="24"/>
        </w:rPr>
        <w:t xml:space="preserve">2026 m.              Nr. 3D-</w:t>
      </w:r>
    </w:p>
    <w:p>
      <w:pPr>
        <w:tabs>
          <w:tab w:val="left" w:pos="709"/>
        </w:tabs>
        <w:overflowPunct w:val="0"/>
        <w:jc w:val="center"/>
        <w:textAlignment w:val="baseline"/>
        <w:rPr>
          <w:szCs w:val="24"/>
        </w:rPr>
      </w:pPr>
      <w:r>
        <w:rPr>
          <w:szCs w:val="24"/>
        </w:rPr>
        <w:t>Vilnius</w:t>
      </w:r>
    </w:p>
    <w:p>
      <w:pPr>
        <w:overflowPunct w:val="0"/>
        <w:textAlignment w:val="baseline"/>
        <w:rPr>
          <w:szCs w:val="24"/>
        </w:rPr>
      </w:pPr>
    </w:p>
    <w:p>
      <w:pPr>
        <w:overflowPunct w:val="0"/>
        <w:spacing w:line="360" w:lineRule="auto"/>
        <w:ind w:firstLine="720"/>
        <w:jc w:val="both"/>
        <w:textAlignment w:val="baseline"/>
        <w:rPr>
          <w:spacing w:val="4"/>
          <w:szCs w:val="24"/>
        </w:rPr>
      </w:pPr>
      <w:r>
        <w:rPr>
          <w:szCs w:val="24"/>
        </w:rPr>
        <w:t>P a k e i č i u Lietuvos žuvininkystės sektoriaus 2021–2027 metų programos pirmojo prioriteto „Tausios žvejybos skatinimas ir vandens biologinių išteklių atkūrimas ir išsaugojimas“ priemonės „Paukščius apsaugančių žvejybos valdymo priemonių taikymo ir žinduolių, kurie saugomi, daromos žalos kompensavimo sistemos“ kompensacijų skyrimo sąlygų aprašą, patvirtintą Lietuvos Respublikos žemės ūkio ministro 2024 m. rugsėjo 10 d. įsakymu Nr. 3D-640 „Dėl Lietuvos žuvininkystės sektoriaus 2021–2027 metų programos pirmojo prioriteto „Tausios žvejybos skatinimas ir vandens biologinių išteklių atkūrimas ir išsaugojimas“ priemonės „Paukščius apsaugančių žvejybos valdymo priemonių taikymo ir žinduolių, kurie saugomi, daromos žalos kompensavimo sistemos“ kompensacijų skyrimo sąlygų aprašo patvirtinimo“</w:t>
      </w:r>
      <w:r>
        <w:rPr>
          <w:spacing w:val="4"/>
          <w:szCs w:val="24"/>
        </w:rPr>
        <w:t>:</w:t>
      </w:r>
    </w:p>
    <w:p>
      <w:pPr>
        <w:tabs>
          <w:tab w:val="left" w:pos="1134"/>
        </w:tabs>
        <w:spacing w:line="360" w:lineRule="auto"/>
        <w:ind w:firstLine="720"/>
        <w:jc w:val="both"/>
        <w:rPr>
          <w:rFonts w:eastAsia="Calibri"/>
          <w:iCs/>
          <w:szCs w:val="24"/>
          <w:lang w:eastAsia="lt-LT"/>
        </w:rPr>
      </w:pPr>
      <w:r>
        <w:rPr>
          <w:rFonts w:eastAsia="Calibri"/>
          <w:iCs/>
          <w:szCs w:val="24"/>
          <w:lang w:eastAsia="lt-LT"/>
        </w:rPr>
        <w:t>1</w:t>
      </w:r>
      <w:r>
        <w:rPr>
          <w:rFonts w:eastAsia="Calibri"/>
          <w:iCs/>
          <w:szCs w:val="24"/>
          <w:lang w:eastAsia="lt-LT"/>
        </w:rPr>
        <w:t>.</w:t>
        <w:tab/>
        <w:t>Pakeičiu 1.8.3 papunktį ir jį išdėstau taip:</w:t>
      </w:r>
    </w:p>
    <w:p>
      <w:pPr>
        <w:spacing w:line="360" w:lineRule="auto"/>
        <w:ind w:firstLine="720"/>
        <w:jc w:val="both"/>
        <w:rPr>
          <w:rFonts w:eastAsia="Calibri"/>
          <w:iCs/>
          <w:szCs w:val="24"/>
          <w:lang w:eastAsia="lt-LT"/>
        </w:rPr>
      </w:pPr>
      <w:r>
        <w:rPr>
          <w:rFonts w:eastAsia="Calibri"/>
          <w:iCs/>
          <w:szCs w:val="24"/>
          <w:lang w:eastAsia="lt-LT"/>
        </w:rPr>
        <w:t>„</w:t>
      </w:r>
      <w:r>
        <w:rPr>
          <w:rFonts w:eastAsia="Calibri"/>
          <w:iCs/>
          <w:szCs w:val="24"/>
          <w:lang w:eastAsia="lt-LT"/>
        </w:rPr>
        <w:t>1.8.3</w:t>
      </w:r>
      <w:r>
        <w:rPr>
          <w:rFonts w:eastAsia="Calibri"/>
          <w:iCs/>
          <w:szCs w:val="24"/>
          <w:lang w:eastAsia="lt-LT"/>
        </w:rPr>
        <w:t xml:space="preserve">. Unikalus žvejybos valandų skaičius – rodiklio, kurį pasiekus išlaidos yra atlyginamos, matavimo vienetas, taikomas Aprašo 3.2.3–3.2.5 papunkčiuose nustatytoms Valdymo priemonėms. Unikaliomis valandomis laikomos konkretaus žvejybos laivo, skirtinguose žvejybos baruose su atitinkama žvejybos valdymo priemone (įrankiu) vykdytos žvejybos (Lietuvos Respublikos žvejybos laivų žvejybos žurnaluose (toliau – žvejybos žurnalas) įrankiai registruojami atitinkamu kodu su prierašu  „FIX pont“, „FIX ind“ arba „GNS aitv“) trukmė, neatsižvelgiant į sužvejotų žuvų, kai sugauti kiekiai fiksuojami atskirose žvejybos žurnalo eilutėse, rūšį. Esant tai pačiai žvejybos trukmei, kai sutampa žvejybos (pastangos) pradžios ir pabaigos laikas, unikaliomis valandomis būtų laikomos ir sumuojamos tos valandos, kurių metu žvejyba vyko skirtingais (ne tais pačiais) žvejybos įrankiais. Aprašo 3.2.3 papunktyje nustatytos Valdymo priemonės unikaliomis valandomis nelaikoma žvejybos (pastangos) trukmė, kai žvejyba (pastanga) priskiriama Aprašo 3.2.2 papunktyje nustatytai Valdymo priemonei. Aprašo 3.2.4 papunktyje nustatytos Valdymo priemonės unikaliomis valandomis nelaikoma žvejybos (pastangos) trukmė, deklaruota 1–15 ir 19–26 Baltijos jūros priekrantės žvejybos baruose nuo lapkričio 1 d. (imtinai) iki kovo 31 d. (imtinai), jei paramos gavėjui už tą patį Valdymo priemonių taikymo etapą skiriama kompensacija už Aprašo 3.2.1 papunktyje nustatytą Valdymo priemonę.“</w:t>
      </w:r>
    </w:p>
    <w:p>
      <w:pPr>
        <w:tabs>
          <w:tab w:val="left" w:pos="1134"/>
        </w:tabs>
        <w:spacing w:line="360" w:lineRule="auto"/>
        <w:ind w:firstLine="720"/>
        <w:jc w:val="both"/>
        <w:rPr>
          <w:rFonts w:eastAsia="Calibri"/>
          <w:iCs/>
          <w:szCs w:val="24"/>
          <w:lang w:eastAsia="lt-LT"/>
        </w:rPr>
      </w:pPr>
      <w:r>
        <w:rPr>
          <w:rFonts w:eastAsia="Calibri"/>
          <w:iCs/>
          <w:szCs w:val="24"/>
          <w:lang w:eastAsia="lt-LT"/>
        </w:rPr>
        <w:t>2</w:t>
      </w:r>
      <w:r>
        <w:rPr>
          <w:rFonts w:eastAsia="Calibri"/>
          <w:iCs/>
          <w:szCs w:val="24"/>
          <w:lang w:eastAsia="lt-LT"/>
        </w:rPr>
        <w:t>.</w:t>
        <w:tab/>
        <w:t>Pakeičiu 1.8.4 papunktį ir jį išdėstau taip:</w:t>
      </w:r>
    </w:p>
    <w:p>
      <w:pPr>
        <w:spacing w:line="360" w:lineRule="auto"/>
        <w:ind w:firstLine="720"/>
        <w:jc w:val="both"/>
        <w:rPr>
          <w:szCs w:val="24"/>
        </w:rPr>
      </w:pPr>
      <w:r>
        <w:rPr>
          <w:szCs w:val="24"/>
        </w:rPr>
        <w:t>„</w:t>
      </w:r>
      <w:r>
        <w:rPr>
          <w:szCs w:val="24"/>
        </w:rPr>
        <w:t>1.8.4</w:t>
      </w:r>
      <w:r>
        <w:rPr>
          <w:szCs w:val="24"/>
        </w:rPr>
        <w:t xml:space="preserve">. Žvejybos naktų skaičius – rodiklio, kurį pasiekus išlaidos yra atlyginamos, matavimo vienetas, taikomas Aprašo 3.2.2 papunktyje nustatytai Valdymo priemonei. Viena žvejybos naktis – kai laikotarpiu nuo lapkričio 1 d. (imtinai) iki kovo 31 d. (imtinai), vykdant žvejybą statomaisiais tinklais (įskaitant statomuosius tinklus su prie tinklų pritvirtintais plėšriuosius paukščius imituojančiais aitvarais), žvejybos žurnale užfiksuotas žvejybos (pastangos (-ų)) pradžios laikas po saulėlydžio, žvejybos (pastangos (-ų)) pabaigos laikas iki kito saulėtekio (galima paklaida iki 3 minučių imtinai), o vykdytos žvejybos trukmė – ne mažiau kaip 5 valandos, neatsižvelgiant į sužvejotų žuvų, kai sugauti kiekiai fiksuojami atskirose žvejybos žurnalo eilutėse, rūšį ir žvejybos žurnale tomis pačiomis datomis, laikotarpiu nuo po saulėlydžio iki kito saulėtekio, užfiksuotą žvejybos (pastangų) kiekį. Rekomenduojama žvejybos žurnale prie pastabų nurodyti, kad vykdyta žvejyba nakties metu, o saulėlydžio ir saulėtekio laiką tikrinti šiame tinklalapyje </w:t>
      </w:r>
      <w:r>
        <w:rPr>
          <w:szCs w:val="24"/>
        </w:rPr>
        <w:t>https://www.timeanddate.com/sun/lithuania/klaipeda</w:t>
      </w:r>
      <w:r>
        <w:rPr>
          <w:szCs w:val="24"/>
        </w:rPr>
        <w:t xml:space="preserve">.“ </w:t>
      </w:r>
    </w:p>
    <w:p>
      <w:pPr>
        <w:tabs>
          <w:tab w:val="left" w:pos="1134"/>
        </w:tabs>
        <w:spacing w:line="360" w:lineRule="auto"/>
        <w:ind w:firstLine="720"/>
        <w:jc w:val="both"/>
        <w:rPr>
          <w:rFonts w:eastAsia="Calibri"/>
          <w:iCs/>
          <w:szCs w:val="24"/>
          <w:lang w:eastAsia="lt-LT"/>
        </w:rPr>
      </w:pPr>
      <w:r>
        <w:rPr>
          <w:rFonts w:eastAsia="Calibri"/>
          <w:iCs/>
          <w:szCs w:val="24"/>
          <w:lang w:eastAsia="lt-LT"/>
        </w:rPr>
        <w:t>3</w:t>
      </w:r>
      <w:r>
        <w:rPr>
          <w:rFonts w:eastAsia="Calibri"/>
          <w:iCs/>
          <w:szCs w:val="24"/>
          <w:lang w:eastAsia="lt-LT"/>
        </w:rPr>
        <w:t>.</w:t>
        <w:tab/>
        <w:t>Pakeičiu 3.2.3 papunktį ir jį išdėstau taip:</w:t>
      </w:r>
    </w:p>
    <w:p>
      <w:pPr>
        <w:spacing w:line="360" w:lineRule="auto"/>
        <w:ind w:firstLine="720"/>
        <w:jc w:val="both"/>
        <w:rPr>
          <w:rFonts w:eastAsia="Calibri"/>
          <w:iCs/>
          <w:szCs w:val="24"/>
          <w:lang w:eastAsia="lt-LT"/>
        </w:rPr>
      </w:pPr>
      <w:r>
        <w:rPr>
          <w:rFonts w:eastAsia="Calibri"/>
          <w:iCs/>
          <w:szCs w:val="24"/>
          <w:lang w:eastAsia="lt-LT"/>
        </w:rPr>
        <w:t>„</w:t>
      </w:r>
      <w:r>
        <w:rPr>
          <w:rFonts w:eastAsia="Calibri"/>
          <w:iCs/>
          <w:szCs w:val="24"/>
          <w:lang w:eastAsia="lt-LT"/>
        </w:rPr>
        <w:t>3.2.3</w:t>
      </w:r>
      <w:r>
        <w:rPr>
          <w:rFonts w:eastAsia="Calibri"/>
          <w:iCs/>
          <w:szCs w:val="24"/>
          <w:lang w:eastAsia="lt-LT"/>
        </w:rPr>
        <w:t>. žvejyba statomaisiais tinklais su prie tinklų pritvirtintais plėšriuosius paukščius imituojančiais aitvarais (toliau – žvejyba statomaisiais tinklais su aitvarais). Žvejybos žurnaluose įrankiai registruojami atitinkamu kodu su prierašu „GNS aitv“. Aitvarų skaičius statant tinklus neribojamas. Šia Valdymo priemone siekiama apsaugoti paukščius, skatinant žvejybą statomaisiais tinklais su aitvarais („GNS</w:t>
      </w:r>
      <w:r>
        <w:t xml:space="preserve"> </w:t>
      </w:r>
      <w:r>
        <w:rPr>
          <w:rFonts w:eastAsia="Calibri"/>
          <w:iCs/>
          <w:szCs w:val="24"/>
          <w:lang w:eastAsia="lt-LT"/>
        </w:rPr>
        <w:t>aitv“) vietoj žvejybos statomaisiais tinklais be aitvarų („GNS“), tačiau nesiekiama didinti žvejybos intensyvumo. Todėl kompensuojamas tik tas žvejybos statomaisiais tinklais su aitvarais unikalių valandų skaičius, kuris neviršija didžiausio per vieną iš šių ankstesnių analogiškų laikotarpių (2023-04-01–2024-03-31</w:t>
      </w:r>
      <w:r>
        <w:t xml:space="preserve"> </w:t>
      </w:r>
      <w:r>
        <w:rPr>
          <w:rFonts w:eastAsia="Calibri"/>
          <w:iCs/>
          <w:szCs w:val="24"/>
          <w:lang w:eastAsia="lt-LT"/>
        </w:rPr>
        <w:t>arba 2024-04-01–2025-03-31) turėto žvejybos statomaisiais tinklais unikalių valandų skaičiaus (toliau – didžiausias turėtas žvejybos statomaisiais tinklais unikalių valandų skaičius).“</w:t>
      </w:r>
    </w:p>
    <w:p>
      <w:pPr>
        <w:tabs>
          <w:tab w:val="left" w:pos="1134"/>
        </w:tabs>
        <w:spacing w:line="360" w:lineRule="auto"/>
        <w:ind w:firstLine="720"/>
        <w:jc w:val="both"/>
        <w:rPr>
          <w:rFonts w:eastAsia="Calibri"/>
          <w:iCs/>
          <w:szCs w:val="24"/>
          <w:lang w:eastAsia="lt-LT"/>
        </w:rPr>
      </w:pPr>
      <w:r>
        <w:rPr>
          <w:rFonts w:eastAsia="Calibri"/>
          <w:iCs/>
          <w:szCs w:val="24"/>
          <w:lang w:eastAsia="lt-LT"/>
        </w:rPr>
        <w:t>4</w:t>
      </w:r>
      <w:r>
        <w:rPr>
          <w:rFonts w:eastAsia="Calibri"/>
          <w:iCs/>
          <w:szCs w:val="24"/>
          <w:lang w:eastAsia="lt-LT"/>
        </w:rPr>
        <w:t>.</w:t>
        <w:tab/>
        <w:t>Pakeičiu 3.2.4 papunktį ir jį išdėstau taip:</w:t>
      </w:r>
    </w:p>
    <w:p>
      <w:pPr>
        <w:spacing w:line="360" w:lineRule="auto"/>
        <w:ind w:firstLine="720"/>
        <w:jc w:val="both"/>
        <w:rPr>
          <w:rFonts w:eastAsia="Calibri"/>
          <w:iCs/>
          <w:szCs w:val="24"/>
          <w:lang w:eastAsia="lt-LT"/>
        </w:rPr>
      </w:pPr>
      <w:r>
        <w:rPr>
          <w:rFonts w:eastAsia="Calibri"/>
          <w:iCs/>
          <w:szCs w:val="24"/>
          <w:lang w:eastAsia="lt-LT"/>
        </w:rPr>
        <w:t>„</w:t>
      </w:r>
      <w:r>
        <w:rPr>
          <w:rFonts w:eastAsia="Calibri"/>
          <w:iCs/>
          <w:szCs w:val="24"/>
          <w:lang w:eastAsia="lt-LT"/>
        </w:rPr>
        <w:t>3.2.4</w:t>
      </w:r>
      <w:r>
        <w:rPr>
          <w:rFonts w:eastAsia="Calibri"/>
          <w:iCs/>
          <w:szCs w:val="24"/>
          <w:lang w:eastAsia="lt-LT"/>
        </w:rPr>
        <w:t>. žvejyba tipinėmis gaudyklėmis su ruonių patekimą ribojančiais įdėklais įgerkliuose (toliau – žvejyba tipinėmis gaudyklėmis su apsaugančiu įdėklu). Žvejybos žurnaluose įrankiai registruojami atitinkamu kodu su prierašu „FIX ind“.</w:t>
      </w:r>
      <w:r>
        <w:t xml:space="preserve"> </w:t>
      </w:r>
      <w:r>
        <w:rPr>
          <w:rFonts w:eastAsia="Calibri"/>
          <w:iCs/>
          <w:szCs w:val="24"/>
          <w:lang w:eastAsia="lt-LT"/>
        </w:rPr>
        <w:t>Šia Valdymo priemone siekiama apsaugoti paukščius ir ruonius, skatinant</w:t>
      </w:r>
      <w:r>
        <w:t xml:space="preserve"> </w:t>
      </w:r>
      <w:r>
        <w:rPr>
          <w:rFonts w:eastAsia="Calibri"/>
          <w:iCs/>
          <w:szCs w:val="24"/>
          <w:lang w:eastAsia="lt-LT"/>
        </w:rPr>
        <w:t xml:space="preserve">žvejybą tipinėmis gaudyklėmis su apsaugančiu įdėklu, vietoj žvejybos statomaisiais tinklais ir (arba) tinklinėmis gaudyklėmis be apsaugančio įdėklo, tačiau nesiekiama didinti žvejybos intensyvumo. Todėl kompensuojamas tik tas žvejybos tipinėmis gaudyklėmis su apsaugančiu įdėklu („FIX ind“) unikalių valandų skaičius, kuris neviršija didžiausio per vieną iš šių  ankstesnių analogiškų laikotarpių (2023-04-01–2024-03-31 arba 2024-04-01–2025-03-31) turėto žvejybos tinklinėmis gaudyklėmis ir tipinėmis</w:t>
      </w:r>
      <w:r>
        <w:t xml:space="preserve"> </w:t>
      </w:r>
      <w:r>
        <w:rPr>
          <w:rFonts w:eastAsia="Calibri"/>
          <w:iCs/>
          <w:szCs w:val="24"/>
          <w:lang w:eastAsia="lt-LT"/>
        </w:rPr>
        <w:t xml:space="preserve">gaudyklėmis su apsaugančiu įdėklu unikalių valandų skaičiaus (toliau – didžiausias turėtas žvejybos tipinėmis gaudyklėmis unikalių valandų skaičius) ir didžiausio turėto žvejybos statomaisiais tinklais unikalių valandų skaičiaus, viršijančio ataskaitinio Valdymo priemonių taikymo etapo metu turėtų žvejybos statomaisiais tinklais („GNS aitv“ ir  „GNS“) unikalių valandų skaičių;“. </w:t>
      </w:r>
    </w:p>
    <w:p>
      <w:pPr>
        <w:tabs>
          <w:tab w:val="left" w:pos="1134"/>
        </w:tabs>
        <w:spacing w:line="360" w:lineRule="auto"/>
        <w:ind w:firstLine="720"/>
        <w:jc w:val="both"/>
        <w:rPr>
          <w:rFonts w:eastAsia="Calibri"/>
          <w:iCs/>
          <w:szCs w:val="24"/>
          <w:lang w:eastAsia="lt-LT"/>
        </w:rPr>
      </w:pPr>
      <w:r>
        <w:rPr>
          <w:rFonts w:eastAsia="Calibri"/>
          <w:iCs/>
          <w:szCs w:val="24"/>
          <w:lang w:eastAsia="lt-LT"/>
        </w:rPr>
        <w:t>5</w:t>
      </w:r>
      <w:r>
        <w:rPr>
          <w:rFonts w:eastAsia="Calibri"/>
          <w:iCs/>
          <w:szCs w:val="24"/>
          <w:lang w:eastAsia="lt-LT"/>
        </w:rPr>
        <w:t>.</w:t>
        <w:tab/>
        <w:t>Pakeičiu 9.2 papunktį ir jį išdėstau taip:</w:t>
      </w:r>
    </w:p>
    <w:p>
      <w:pPr>
        <w:spacing w:line="360" w:lineRule="auto"/>
        <w:ind w:firstLine="720"/>
        <w:jc w:val="both"/>
        <w:rPr>
          <w:rFonts w:eastAsia="Calibri"/>
          <w:iCs/>
          <w:szCs w:val="24"/>
          <w:lang w:eastAsia="lt-LT"/>
        </w:rPr>
      </w:pPr>
      <w:r>
        <w:rPr>
          <w:rFonts w:eastAsia="Calibri"/>
          <w:iCs/>
          <w:szCs w:val="24"/>
          <w:lang w:eastAsia="lt-LT"/>
        </w:rPr>
        <w:t>„</w:t>
      </w:r>
      <w:r>
        <w:rPr>
          <w:rFonts w:eastAsia="Calibri"/>
          <w:iCs/>
          <w:szCs w:val="24"/>
          <w:lang w:eastAsia="lt-LT"/>
        </w:rPr>
        <w:t>9.2</w:t>
      </w:r>
      <w:r>
        <w:rPr>
          <w:rFonts w:eastAsia="Calibri"/>
          <w:iCs/>
          <w:szCs w:val="24"/>
          <w:lang w:eastAsia="lt-LT"/>
        </w:rPr>
        <w:t xml:space="preserve">. Mokėjimo prašymai pagal Priemonę neteikiami. Kompensacijos išmokamos už kiekvieną Valdymo priemonių taikymo etapą. Agentūra, gavusi tinkamą (parengtą ir pateiktą Aprašo 8.4 papunktyje nurodyta tvarka) veiklos ataskaitą, per 20 darbo dienų nuo Aprašo 9.4 papunktyje nurodytos informacijos gavimo dienos apskaičiuoja kompensacijos už Valdymo priemonių taikymo etapą dydį ir inicijuoja jo išmokėjimą PFAT nustatyta tvarka.“ </w:t>
      </w:r>
    </w:p>
    <w:p>
      <w:pPr>
        <w:tabs>
          <w:tab w:val="left" w:pos="1134"/>
        </w:tabs>
        <w:spacing w:line="360" w:lineRule="auto"/>
        <w:ind w:firstLine="720"/>
        <w:jc w:val="both"/>
        <w:rPr>
          <w:rFonts w:eastAsia="Calibri"/>
          <w:iCs/>
          <w:szCs w:val="24"/>
          <w:lang w:eastAsia="lt-LT"/>
        </w:rPr>
      </w:pPr>
      <w:r>
        <w:rPr>
          <w:rFonts w:eastAsia="Calibri"/>
          <w:iCs/>
          <w:szCs w:val="24"/>
          <w:lang w:eastAsia="lt-LT"/>
        </w:rPr>
        <w:t>6</w:t>
      </w:r>
      <w:r>
        <w:rPr>
          <w:rFonts w:eastAsia="Calibri"/>
          <w:iCs/>
          <w:szCs w:val="24"/>
          <w:lang w:eastAsia="lt-LT"/>
        </w:rPr>
        <w:t>.</w:t>
        <w:tab/>
        <w:t>Pakeičiu 9.3.2 papunktį ir jį išdėstau taip:</w:t>
      </w:r>
    </w:p>
    <w:p>
      <w:pPr>
        <w:spacing w:line="360" w:lineRule="auto"/>
        <w:ind w:firstLine="720"/>
        <w:jc w:val="both"/>
        <w:rPr>
          <w:rFonts w:eastAsia="Calibri"/>
          <w:iCs/>
          <w:szCs w:val="24"/>
          <w:lang w:eastAsia="lt-LT"/>
        </w:rPr>
      </w:pPr>
      <w:r>
        <w:rPr>
          <w:rFonts w:eastAsia="Calibri"/>
          <w:iCs/>
          <w:szCs w:val="24"/>
          <w:lang w:eastAsia="lt-LT"/>
        </w:rPr>
        <w:t>„</w:t>
      </w:r>
      <w:r>
        <w:rPr>
          <w:rFonts w:eastAsia="Calibri"/>
          <w:iCs/>
          <w:szCs w:val="24"/>
          <w:lang w:eastAsia="lt-LT"/>
        </w:rPr>
        <w:t>9.3.2</w:t>
      </w:r>
      <w:r>
        <w:rPr>
          <w:rFonts w:eastAsia="Calibri"/>
          <w:iCs/>
          <w:szCs w:val="24"/>
          <w:lang w:eastAsia="lt-LT"/>
        </w:rPr>
        <w:t>. už žvejybos metu faktinį Aprašo 3.2.2 papunktyje nurodytos Valdymo priemonės vykdymą, fiksuotąjį vieneto įkainį, nurodytą Aprašo 10.15 papunktyje, dauginant iš žvejybos naktų skaičiaus (žvejybos naktų skaičius nustatomas vadovaujantis Aprašo 1.8.4 papunkčiu);“.</w:t>
      </w:r>
    </w:p>
    <w:p>
      <w:pPr>
        <w:tabs>
          <w:tab w:val="left" w:pos="1134"/>
        </w:tabs>
        <w:spacing w:line="360" w:lineRule="auto"/>
        <w:ind w:firstLine="720"/>
        <w:jc w:val="both"/>
        <w:rPr>
          <w:rFonts w:eastAsia="Calibri"/>
          <w:iCs/>
          <w:szCs w:val="24"/>
          <w:lang w:eastAsia="lt-LT"/>
        </w:rPr>
      </w:pPr>
      <w:r>
        <w:rPr>
          <w:rFonts w:eastAsia="Calibri"/>
          <w:iCs/>
          <w:szCs w:val="24"/>
          <w:lang w:eastAsia="lt-LT"/>
        </w:rPr>
        <w:t>7</w:t>
      </w:r>
      <w:r>
        <w:rPr>
          <w:rFonts w:eastAsia="Calibri"/>
          <w:iCs/>
          <w:szCs w:val="24"/>
          <w:lang w:eastAsia="lt-LT"/>
        </w:rPr>
        <w:t>.</w:t>
        <w:tab/>
        <w:t>Pakeičiu 9.3.3 papunktį ir jį išdėstau taip:</w:t>
      </w:r>
    </w:p>
    <w:p>
      <w:pPr>
        <w:spacing w:line="360" w:lineRule="auto"/>
        <w:ind w:firstLine="720"/>
        <w:jc w:val="both"/>
        <w:rPr>
          <w:rFonts w:eastAsia="Calibri"/>
          <w:iCs/>
          <w:szCs w:val="24"/>
          <w:lang w:eastAsia="lt-LT"/>
        </w:rPr>
      </w:pPr>
      <w:r>
        <w:rPr>
          <w:rFonts w:eastAsia="Calibri"/>
          <w:iCs/>
          <w:szCs w:val="24"/>
          <w:lang w:eastAsia="lt-LT"/>
        </w:rPr>
        <w:t>„</w:t>
      </w:r>
      <w:r>
        <w:rPr>
          <w:rFonts w:eastAsia="Calibri"/>
          <w:iCs/>
          <w:szCs w:val="24"/>
          <w:lang w:eastAsia="lt-LT"/>
        </w:rPr>
        <w:t>9.3.3</w:t>
      </w:r>
      <w:r>
        <w:rPr>
          <w:rFonts w:eastAsia="Calibri"/>
          <w:iCs/>
          <w:szCs w:val="24"/>
          <w:lang w:eastAsia="lt-LT"/>
        </w:rPr>
        <w:t>. už žvejybos metu faktinį Aprašo 3.2.3 papunktyje nurodytos Valdymo priemonės vykdymą, fiksuotąjį vieneto įkainį, nurodytą Aprašo 10.16 arba 10.17 papunktyje, dauginant iš unikalių žvejybos valandų skaičiaus, neviršijančio didžiausio galimo kompensuoti unikalių žvejybos valandų skaičiaus, kaip nustatyta Aprašo 3.2.3 papunktyje. Jei paramos gavėjas nevykdė žvejybos statomaisiais tinklais 2023-04-01–2025-03-31, didžiausias galimas kompensuoti unikalių žvejybos valandų skaičius apskaičiuojamas pagal ataskaitinio Valdymo priemonių taikymo etapo metu žvejybos žurnaluose deklaruotus duomenis. Tokiu atveju, kai tą pačią kalendorinę dieną žvejybos žurnale užfiksuota daugiau nei vienos žvejybos (pastangos) pradžia, tai bendras šių pastangų tinklų ilgis iki 1400 (imtinai) metrų atitinka vieną žvejybą (pastangą), kurios pradžia sutampa su anksčiausiai prasidėjusios pastangos pradžia, o pabaiga sutampa su vėliausiai pasibaigusios pastangos pradžia;“.</w:t>
      </w:r>
    </w:p>
    <w:p>
      <w:pPr>
        <w:spacing w:line="360" w:lineRule="auto"/>
        <w:ind w:left="1080" w:hanging="360"/>
        <w:jc w:val="both"/>
        <w:rPr>
          <w:rFonts w:eastAsia="Calibri"/>
          <w:iCs/>
          <w:szCs w:val="24"/>
          <w:lang w:eastAsia="lt-LT"/>
        </w:rPr>
      </w:pPr>
      <w:r>
        <w:rPr>
          <w:rFonts w:eastAsia="Calibri"/>
          <w:iCs/>
          <w:szCs w:val="24"/>
          <w:lang w:eastAsia="lt-LT"/>
        </w:rPr>
        <w:t>8</w:t>
      </w:r>
      <w:r>
        <w:rPr>
          <w:rFonts w:eastAsia="Calibri"/>
          <w:iCs/>
          <w:szCs w:val="24"/>
          <w:lang w:eastAsia="lt-LT"/>
        </w:rPr>
        <w:t>.</w:t>
        <w:tab/>
        <w:t>Pakeičiu 9.3.4 papunktį ir jį išdėstau taip:</w:t>
      </w:r>
    </w:p>
    <w:p>
      <w:pPr>
        <w:spacing w:line="360" w:lineRule="auto"/>
        <w:ind w:firstLine="720"/>
        <w:jc w:val="both"/>
        <w:rPr>
          <w:rFonts w:eastAsia="Calibri"/>
          <w:iCs/>
          <w:szCs w:val="24"/>
          <w:lang w:eastAsia="lt-LT"/>
        </w:rPr>
      </w:pPr>
      <w:r>
        <w:rPr>
          <w:rFonts w:eastAsia="Calibri"/>
          <w:iCs/>
          <w:szCs w:val="24"/>
          <w:lang w:eastAsia="lt-LT"/>
        </w:rPr>
        <w:t>„</w:t>
      </w:r>
      <w:r>
        <w:rPr>
          <w:rFonts w:eastAsia="Calibri"/>
          <w:iCs/>
          <w:szCs w:val="24"/>
          <w:lang w:eastAsia="lt-LT"/>
        </w:rPr>
        <w:t>9.3.4</w:t>
      </w:r>
      <w:r>
        <w:rPr>
          <w:rFonts w:eastAsia="Calibri"/>
          <w:iCs/>
          <w:szCs w:val="24"/>
          <w:lang w:eastAsia="lt-LT"/>
        </w:rPr>
        <w:t>. už Aprašo 3.2.4 papunktyje nurodytos Valdymo priemonės vykdymą, fiksuotąjį vieneto įkainį, nurodytą Aprašo 10.18 arba 10.19 papunktyje, dauginant iš unikalių žvejybos valandų skaičiaus, neviršijančio didžiausio galimo kompensuoti unikalių žvejybos valandų skaičiaus, kaip nustatyta Aprašo 3.2.4 papunktyje. Jei paramos gavėjas nevykdė žvejybos tinklinėmis gaudyklėmis ir (ar) tipinėmis gaudyklėmis su apsaugančiu įdėklu tinklais 2023-04-01–2025-03-31, didžiausias galimas kompensuoti unikalių žvejybos valandų skaičius apskaičiuojamas pagal ataskaitinio Valdymo priemonių taikymo etapo metu žvejybos žurnaluose deklaruotus duomenis. Tokiu atveju, kai tą pačią kalendorinę dieną žvejybos žurnale užfiksuota daugiau nei vienos žvejybos (pastangos) pradžia, bendras šių pastangų tinklų ilgis iki 158 metrų (imtinai) atitinka vieną žvejybą (pastangą), kurios pradžia sutampa su anksčiausiai prasidėjusios pastangos pradžia, o pabaiga sutampa su vėliausiai pasibaigusios pastangos pradžia. Didžiausias galimas kompensuoti unikalių žvejybos valandų skaičiaus didinamas ta apimtimi, kuria didžiausias turėtas žvejybos statomaisiais tinklais unikalių valandų skaičiaus viršija ataskaitinio Valdymo priemonių taikymo etapo metu deklaruotas žvejybos statomaisiais tinklais („GNS“) ir žvejybos statomaisiais tinklais su aitvarais („GNS aitv“) unikalias valandas;“.</w:t>
      </w:r>
    </w:p>
    <w:p>
      <w:pPr>
        <w:tabs>
          <w:tab w:val="left" w:pos="1134"/>
        </w:tabs>
        <w:spacing w:line="360" w:lineRule="auto"/>
        <w:ind w:firstLine="720"/>
        <w:jc w:val="both"/>
        <w:rPr>
          <w:rFonts w:eastAsia="Calibri"/>
          <w:iCs/>
          <w:szCs w:val="24"/>
          <w:lang w:eastAsia="lt-LT"/>
        </w:rPr>
      </w:pPr>
      <w:r>
        <w:rPr>
          <w:rFonts w:eastAsia="Calibri"/>
          <w:iCs/>
          <w:szCs w:val="24"/>
          <w:lang w:eastAsia="lt-LT"/>
        </w:rPr>
        <w:t>9</w:t>
      </w:r>
      <w:r>
        <w:rPr>
          <w:rFonts w:eastAsia="Calibri"/>
          <w:iCs/>
          <w:szCs w:val="24"/>
          <w:lang w:eastAsia="lt-LT"/>
        </w:rPr>
        <w:t>.</w:t>
        <w:tab/>
        <w:t>Pakeičiu 9.4 papunktį ir jį išdėstau taip:</w:t>
      </w:r>
    </w:p>
    <w:p>
      <w:pPr>
        <w:spacing w:line="360" w:lineRule="auto"/>
        <w:ind w:firstLine="720"/>
        <w:jc w:val="both"/>
        <w:rPr>
          <w:rFonts w:eastAsia="Calibri"/>
          <w:iCs/>
          <w:szCs w:val="24"/>
          <w:lang w:eastAsia="lt-LT"/>
        </w:rPr>
      </w:pPr>
      <w:r>
        <w:rPr>
          <w:szCs w:val="24"/>
          <w:lang w:eastAsia="lt-LT"/>
        </w:rPr>
        <w:t>„</w:t>
      </w:r>
      <w:r>
        <w:rPr>
          <w:szCs w:val="24"/>
          <w:lang w:eastAsia="lt-LT"/>
        </w:rPr>
        <w:t>9.4</w:t>
      </w:r>
      <w:r>
        <w:rPr>
          <w:szCs w:val="24"/>
          <w:lang w:eastAsia="lt-LT"/>
        </w:rPr>
        <w:t xml:space="preserve">. Skiriamos kompensacijos dydis apskaičiuojamas už kiekvieną Valdymo priemonių taikymo etapą, vadovaujantis </w:t>
      </w:r>
      <w:r>
        <w:rPr>
          <w:szCs w:val="24"/>
        </w:rPr>
        <w:t xml:space="preserve">Žuvininkystės tarnybos prie Lietuvos Respublikos žemės ūkio ministerijos (toliau – Tarnyba) duomenimis. Paramos gavėjų žvejybos žurnalų duomenis Tarnyba teikia Agentūrai kasmet iki gegužės 15 d. arba Agentūros prašymu. Paramos gavėjai patys atsako už tinkamą (teisės aktų nustatyta tvarka) žvejybos žurnalų pildymą ir teikimą Tarnybai. Skiriamos kompensacijos dydis gali keistis ir po jos išmokėjimo, jei yra patikslinami atitinkami Tarnybos duomenys.“ </w:t>
      </w:r>
    </w:p>
    <w:p>
      <w:pPr>
        <w:tabs>
          <w:tab w:val="left" w:pos="1134"/>
          <w:tab w:val="left" w:pos="6804"/>
        </w:tabs>
        <w:overflowPunct w:val="0"/>
        <w:spacing w:line="360" w:lineRule="auto"/>
        <w:jc w:val="both"/>
        <w:textAlignment w:val="baseline"/>
        <w:rPr>
          <w:szCs w:val="24"/>
        </w:rPr>
      </w:pPr>
    </w:p>
    <w:p>
      <w:pPr>
        <w:tabs>
          <w:tab w:val="left" w:pos="1134"/>
          <w:tab w:val="left" w:pos="6804"/>
        </w:tabs>
        <w:overflowPunct w:val="0"/>
        <w:jc w:val="both"/>
        <w:textAlignment w:val="baseline"/>
        <w:rPr>
          <w:szCs w:val="24"/>
        </w:rPr>
      </w:pPr>
    </w:p>
    <w:p>
      <w:pPr>
        <w:tabs>
          <w:tab w:val="left" w:pos="720"/>
        </w:tabs>
        <w:spacing w:line="372" w:lineRule="auto"/>
        <w:jc w:val="both"/>
        <w:rPr>
          <w:b/>
          <w:color w:val="000000"/>
          <w:sz w:val="22"/>
          <w:szCs w:val="22"/>
        </w:rPr>
      </w:pPr>
      <w:r>
        <w:rPr>
          <w:szCs w:val="24"/>
        </w:rPr>
        <w:t>Žemės ūkio ministras</w:t>
        <w:tab/>
        <w:tab/>
        <w:tab/>
        <w:tab/>
        <w:tab/>
        <w:tab/>
        <w:tab/>
        <w:tab/>
        <w:t xml:space="preserve">  </w:t>
      </w:r>
    </w:p>
    <w:sectPr>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720" w:footer="720" w:gutter="0"/>
      <w:pgNumType w:start="1"/>
      <w:cols w:space="720"/>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rPr>
          </w:pPr>
        </w:p>
      </w:tc>
      <w:tc>
        <w:tcPr>
          <w:tcW w:w="3210" w:type="dxa"/>
        </w:tcPr>
        <w:p>
          <w:pPr>
            <w:tabs>
              <w:tab w:val="center" w:pos="4153"/>
              <w:tab w:val="right" w:pos="8306"/>
            </w:tabs>
            <w:ind w:firstLine="720"/>
            <w:jc w:val="center"/>
            <w:rPr>
              <w:rFonts w:ascii="Arial" w:hAnsi="Arial"/>
              <w:sz w:val="20"/>
            </w:rPr>
          </w:pPr>
        </w:p>
      </w:tc>
      <w:tc>
        <w:tcPr>
          <w:tcW w:w="3210" w:type="dxa"/>
        </w:tcPr>
        <w:p>
          <w:pPr>
            <w:tabs>
              <w:tab w:val="center" w:pos="4153"/>
              <w:tab w:val="right" w:pos="8306"/>
            </w:tabs>
            <w:ind w:right="-115" w:firstLine="720"/>
            <w:jc w:val="right"/>
            <w:rPr>
              <w:rFonts w:ascii="Arial" w:hAnsi="Arial"/>
              <w:sz w:val="20"/>
            </w:rPr>
          </w:pPr>
        </w:p>
      </w:tc>
    </w:tr>
  </w:tbl>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p>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jc w:val="center"/>
    </w:pPr>
    <w:r>
      <w:fldChar w:fldCharType="begin"/>
    </w:r>
    <w:r>
      <w:instrText>PAGE   \* MERGEFORMAT</w:instrText>
    </w:r>
    <w:r>
      <w:fldChar w:fldCharType="separate"/>
    </w:r>
    <w:r>
      <w:t>2</w:t>
    </w:r>
    <w:r>
      <w:fldChar w:fldCharType="end"/>
    </w:r>
  </w:p>
  <w:p>
    <w:pPr>
      <w:tabs>
        <w:tab w:val="center" w:pos="4986"/>
        <w:tab w:val="right" w:pos="9972"/>
      </w:tabs>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A5722-A431-48E8-8746-D4B23338582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583609498">
      <w:bodyDiv w:val="1"/>
      <w:marLeft w:val="0"/>
      <w:marRight w:val="0"/>
      <w:marTop w:val="0"/>
      <w:marBottom w:val="0"/>
      <w:divBdr>
        <w:top w:val="none" w:sz="0" w:space="0" w:color="auto"/>
        <w:left w:val="none" w:sz="0" w:space="0" w:color="auto"/>
        <w:bottom w:val="none" w:sz="0" w:space="0" w:color="auto"/>
        <w:right w:val="none" w:sz="0" w:space="0" w:color="auto"/>
      </w:divBdr>
      <w:divsChild>
        <w:div w:id="425267524">
          <w:marLeft w:val="0"/>
          <w:marRight w:val="0"/>
          <w:marTop w:val="0"/>
          <w:marBottom w:val="0"/>
          <w:divBdr>
            <w:top w:val="none" w:sz="0" w:space="0" w:color="auto"/>
            <w:left w:val="none" w:sz="0" w:space="0" w:color="auto"/>
            <w:bottom w:val="none" w:sz="0" w:space="0" w:color="auto"/>
            <w:right w:val="none" w:sz="0" w:space="0" w:color="auto"/>
          </w:divBdr>
          <w:divsChild>
            <w:div w:id="1066564694">
              <w:marLeft w:val="0"/>
              <w:marRight w:val="0"/>
              <w:marTop w:val="0"/>
              <w:marBottom w:val="0"/>
              <w:divBdr>
                <w:top w:val="none" w:sz="0" w:space="0" w:color="auto"/>
                <w:left w:val="none" w:sz="0" w:space="0" w:color="auto"/>
                <w:bottom w:val="none" w:sz="0" w:space="0" w:color="auto"/>
                <w:right w:val="none" w:sz="0" w:space="0" w:color="auto"/>
              </w:divBdr>
            </w:div>
          </w:divsChild>
        </w:div>
        <w:div w:id="553464326">
          <w:marLeft w:val="0"/>
          <w:marRight w:val="0"/>
          <w:marTop w:val="0"/>
          <w:marBottom w:val="0"/>
          <w:divBdr>
            <w:top w:val="none" w:sz="0" w:space="0" w:color="auto"/>
            <w:left w:val="none" w:sz="0" w:space="0" w:color="auto"/>
            <w:bottom w:val="none" w:sz="0" w:space="0" w:color="auto"/>
            <w:right w:val="none" w:sz="0" w:space="0" w:color="auto"/>
          </w:divBdr>
          <w:divsChild>
            <w:div w:id="19237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920485654">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sChild>
        <w:div w:id="132017522">
          <w:marLeft w:val="0"/>
          <w:marRight w:val="0"/>
          <w:marTop w:val="0"/>
          <w:marBottom w:val="0"/>
          <w:divBdr>
            <w:top w:val="none" w:sz="0" w:space="0" w:color="auto"/>
            <w:left w:val="none" w:sz="0" w:space="0" w:color="auto"/>
            <w:bottom w:val="none" w:sz="0" w:space="0" w:color="auto"/>
            <w:right w:val="none" w:sz="0" w:space="0" w:color="auto"/>
          </w:divBdr>
          <w:divsChild>
            <w:div w:id="748381411">
              <w:marLeft w:val="0"/>
              <w:marRight w:val="0"/>
              <w:marTop w:val="0"/>
              <w:marBottom w:val="0"/>
              <w:divBdr>
                <w:top w:val="none" w:sz="0" w:space="0" w:color="auto"/>
                <w:left w:val="none" w:sz="0" w:space="0" w:color="auto"/>
                <w:bottom w:val="none" w:sz="0" w:space="0" w:color="auto"/>
                <w:right w:val="none" w:sz="0" w:space="0" w:color="auto"/>
              </w:divBdr>
            </w:div>
          </w:divsChild>
        </w:div>
        <w:div w:id="839660493">
          <w:marLeft w:val="0"/>
          <w:marRight w:val="0"/>
          <w:marTop w:val="0"/>
          <w:marBottom w:val="0"/>
          <w:divBdr>
            <w:top w:val="none" w:sz="0" w:space="0" w:color="auto"/>
            <w:left w:val="none" w:sz="0" w:space="0" w:color="auto"/>
            <w:bottom w:val="none" w:sz="0" w:space="0" w:color="auto"/>
            <w:right w:val="none" w:sz="0" w:space="0" w:color="auto"/>
          </w:divBdr>
          <w:divsChild>
            <w:div w:id="1242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0990">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6398088">
      <w:bodyDiv w:val="1"/>
      <w:marLeft w:val="0"/>
      <w:marRight w:val="0"/>
      <w:marTop w:val="0"/>
      <w:marBottom w:val="0"/>
      <w:divBdr>
        <w:top w:val="none" w:sz="0" w:space="0" w:color="auto"/>
        <w:left w:val="none" w:sz="0" w:space="0" w:color="auto"/>
        <w:bottom w:val="none" w:sz="0" w:space="0" w:color="auto"/>
        <w:right w:val="none" w:sz="0" w:space="0" w:color="auto"/>
      </w:divBdr>
      <w:divsChild>
        <w:div w:id="427968682">
          <w:marLeft w:val="0"/>
          <w:marRight w:val="0"/>
          <w:marTop w:val="0"/>
          <w:marBottom w:val="0"/>
          <w:divBdr>
            <w:top w:val="none" w:sz="0" w:space="0" w:color="auto"/>
            <w:left w:val="none" w:sz="0" w:space="0" w:color="auto"/>
            <w:bottom w:val="none" w:sz="0" w:space="0" w:color="auto"/>
            <w:right w:val="none" w:sz="0" w:space="0" w:color="auto"/>
          </w:divBdr>
          <w:divsChild>
            <w:div w:id="986930824">
              <w:marLeft w:val="0"/>
              <w:marRight w:val="0"/>
              <w:marTop w:val="0"/>
              <w:marBottom w:val="0"/>
              <w:divBdr>
                <w:top w:val="none" w:sz="0" w:space="0" w:color="auto"/>
                <w:left w:val="none" w:sz="0" w:space="0" w:color="auto"/>
                <w:bottom w:val="none" w:sz="0" w:space="0" w:color="auto"/>
                <w:right w:val="none" w:sz="0" w:space="0" w:color="auto"/>
              </w:divBdr>
              <w:divsChild>
                <w:div w:id="971903343">
                  <w:marLeft w:val="0"/>
                  <w:marRight w:val="0"/>
                  <w:marTop w:val="0"/>
                  <w:marBottom w:val="0"/>
                  <w:divBdr>
                    <w:top w:val="none" w:sz="0" w:space="0" w:color="auto"/>
                    <w:left w:val="none" w:sz="0" w:space="0" w:color="auto"/>
                    <w:bottom w:val="none" w:sz="0" w:space="0" w:color="auto"/>
                    <w:right w:val="none" w:sz="0" w:space="0" w:color="auto"/>
                  </w:divBdr>
                </w:div>
                <w:div w:id="1621643204">
                  <w:marLeft w:val="0"/>
                  <w:marRight w:val="0"/>
                  <w:marTop w:val="0"/>
                  <w:marBottom w:val="0"/>
                  <w:divBdr>
                    <w:top w:val="none" w:sz="0" w:space="0" w:color="auto"/>
                    <w:left w:val="none" w:sz="0" w:space="0" w:color="auto"/>
                    <w:bottom w:val="none" w:sz="0" w:space="0" w:color="auto"/>
                    <w:right w:val="none" w:sz="0" w:space="0" w:color="auto"/>
                  </w:divBdr>
                </w:div>
              </w:divsChild>
            </w:div>
            <w:div w:id="1107039001">
              <w:marLeft w:val="0"/>
              <w:marRight w:val="0"/>
              <w:marTop w:val="0"/>
              <w:marBottom w:val="0"/>
              <w:divBdr>
                <w:top w:val="none" w:sz="0" w:space="0" w:color="auto"/>
                <w:left w:val="none" w:sz="0" w:space="0" w:color="auto"/>
                <w:bottom w:val="none" w:sz="0" w:space="0" w:color="auto"/>
                <w:right w:val="none" w:sz="0" w:space="0" w:color="auto"/>
              </w:divBdr>
              <w:divsChild>
                <w:div w:id="1001543063">
                  <w:marLeft w:val="0"/>
                  <w:marRight w:val="0"/>
                  <w:marTop w:val="0"/>
                  <w:marBottom w:val="0"/>
                  <w:divBdr>
                    <w:top w:val="none" w:sz="0" w:space="0" w:color="auto"/>
                    <w:left w:val="none" w:sz="0" w:space="0" w:color="auto"/>
                    <w:bottom w:val="none" w:sz="0" w:space="0" w:color="auto"/>
                    <w:right w:val="none" w:sz="0" w:space="0" w:color="auto"/>
                  </w:divBdr>
                </w:div>
                <w:div w:id="689574518">
                  <w:marLeft w:val="0"/>
                  <w:marRight w:val="0"/>
                  <w:marTop w:val="0"/>
                  <w:marBottom w:val="0"/>
                  <w:divBdr>
                    <w:top w:val="none" w:sz="0" w:space="0" w:color="auto"/>
                    <w:left w:val="none" w:sz="0" w:space="0" w:color="auto"/>
                    <w:bottom w:val="none" w:sz="0" w:space="0" w:color="auto"/>
                    <w:right w:val="none" w:sz="0" w:space="0" w:color="auto"/>
                  </w:divBdr>
                </w:div>
              </w:divsChild>
            </w:div>
            <w:div w:id="2118013702">
              <w:marLeft w:val="0"/>
              <w:marRight w:val="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 w:id="2000230050">
                  <w:marLeft w:val="0"/>
                  <w:marRight w:val="0"/>
                  <w:marTop w:val="0"/>
                  <w:marBottom w:val="0"/>
                  <w:divBdr>
                    <w:top w:val="none" w:sz="0" w:space="0" w:color="auto"/>
                    <w:left w:val="none" w:sz="0" w:space="0" w:color="auto"/>
                    <w:bottom w:val="none" w:sz="0" w:space="0" w:color="auto"/>
                    <w:right w:val="none" w:sz="0" w:space="0" w:color="auto"/>
                  </w:divBdr>
                </w:div>
                <w:div w:id="1191380587">
                  <w:marLeft w:val="0"/>
                  <w:marRight w:val="0"/>
                  <w:marTop w:val="0"/>
                  <w:marBottom w:val="0"/>
                  <w:divBdr>
                    <w:top w:val="none" w:sz="0" w:space="0" w:color="auto"/>
                    <w:left w:val="none" w:sz="0" w:space="0" w:color="auto"/>
                    <w:bottom w:val="none" w:sz="0" w:space="0" w:color="auto"/>
                    <w:right w:val="none" w:sz="0" w:space="0" w:color="auto"/>
                  </w:divBdr>
                </w:div>
                <w:div w:id="806749935">
                  <w:marLeft w:val="0"/>
                  <w:marRight w:val="0"/>
                  <w:marTop w:val="0"/>
                  <w:marBottom w:val="0"/>
                  <w:divBdr>
                    <w:top w:val="none" w:sz="0" w:space="0" w:color="auto"/>
                    <w:left w:val="none" w:sz="0" w:space="0" w:color="auto"/>
                    <w:bottom w:val="none" w:sz="0" w:space="0" w:color="auto"/>
                    <w:right w:val="none" w:sz="0" w:space="0" w:color="auto"/>
                  </w:divBdr>
                </w:div>
              </w:divsChild>
            </w:div>
            <w:div w:id="1015300646">
              <w:marLeft w:val="0"/>
              <w:marRight w:val="0"/>
              <w:marTop w:val="0"/>
              <w:marBottom w:val="0"/>
              <w:divBdr>
                <w:top w:val="none" w:sz="0" w:space="0" w:color="auto"/>
                <w:left w:val="none" w:sz="0" w:space="0" w:color="auto"/>
                <w:bottom w:val="none" w:sz="0" w:space="0" w:color="auto"/>
                <w:right w:val="none" w:sz="0" w:space="0" w:color="auto"/>
              </w:divBdr>
            </w:div>
            <w:div w:id="1290284953">
              <w:marLeft w:val="0"/>
              <w:marRight w:val="0"/>
              <w:marTop w:val="0"/>
              <w:marBottom w:val="0"/>
              <w:divBdr>
                <w:top w:val="none" w:sz="0" w:space="0" w:color="auto"/>
                <w:left w:val="none" w:sz="0" w:space="0" w:color="auto"/>
                <w:bottom w:val="none" w:sz="0" w:space="0" w:color="auto"/>
                <w:right w:val="none" w:sz="0" w:space="0" w:color="auto"/>
              </w:divBdr>
            </w:div>
          </w:divsChild>
        </w:div>
        <w:div w:id="782723603">
          <w:marLeft w:val="0"/>
          <w:marRight w:val="0"/>
          <w:marTop w:val="0"/>
          <w:marBottom w:val="0"/>
          <w:divBdr>
            <w:top w:val="none" w:sz="0" w:space="0" w:color="auto"/>
            <w:left w:val="none" w:sz="0" w:space="0" w:color="auto"/>
            <w:bottom w:val="none" w:sz="0" w:space="0" w:color="auto"/>
            <w:right w:val="none" w:sz="0" w:space="0" w:color="auto"/>
          </w:divBdr>
          <w:divsChild>
            <w:div w:id="1169563449">
              <w:marLeft w:val="0"/>
              <w:marRight w:val="0"/>
              <w:marTop w:val="0"/>
              <w:marBottom w:val="0"/>
              <w:divBdr>
                <w:top w:val="none" w:sz="0" w:space="0" w:color="auto"/>
                <w:left w:val="none" w:sz="0" w:space="0" w:color="auto"/>
                <w:bottom w:val="none" w:sz="0" w:space="0" w:color="auto"/>
                <w:right w:val="none" w:sz="0" w:space="0" w:color="auto"/>
              </w:divBdr>
            </w:div>
            <w:div w:id="1623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1640">
      <w:bodyDiv w:val="1"/>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sChild>
            <w:div w:id="789129994">
              <w:marLeft w:val="0"/>
              <w:marRight w:val="0"/>
              <w:marTop w:val="0"/>
              <w:marBottom w:val="0"/>
              <w:divBdr>
                <w:top w:val="none" w:sz="0" w:space="0" w:color="auto"/>
                <w:left w:val="none" w:sz="0" w:space="0" w:color="auto"/>
                <w:bottom w:val="none" w:sz="0" w:space="0" w:color="auto"/>
                <w:right w:val="none" w:sz="0" w:space="0" w:color="auto"/>
              </w:divBdr>
            </w:div>
          </w:divsChild>
        </w:div>
        <w:div w:id="793014400">
          <w:marLeft w:val="0"/>
          <w:marRight w:val="0"/>
          <w:marTop w:val="0"/>
          <w:marBottom w:val="0"/>
          <w:divBdr>
            <w:top w:val="none" w:sz="0" w:space="0" w:color="auto"/>
            <w:left w:val="none" w:sz="0" w:space="0" w:color="auto"/>
            <w:bottom w:val="none" w:sz="0" w:space="0" w:color="auto"/>
            <w:right w:val="none" w:sz="0" w:space="0" w:color="auto"/>
          </w:divBdr>
          <w:divsChild>
            <w:div w:id="320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D77D9758E92DA49AEB4CD7025F9DB0E" ma:contentTypeVersion="14" ma:contentTypeDescription="Kurkite naują dokumentą." ma:contentTypeScope="" ma:versionID="a3c891c17b6e0d442b8eb47017abfc1e">
  <xsd:schema xmlns:xsd="http://www.w3.org/2001/XMLSchema" xmlns:xs="http://www.w3.org/2001/XMLSchema" xmlns:p="http://schemas.microsoft.com/office/2006/metadata/properties" xmlns:ns2="240dd788-319f-4943-88e1-3b7713b408be" xmlns:ns3="af00d09b-de60-4958-ac74-29cb2f902e32" targetNamespace="http://schemas.microsoft.com/office/2006/metadata/properties" ma:root="true" ma:fieldsID="c8942e7266f69f4ede28d9749cafe12e" ns2:_="" ns3:_="">
    <xsd:import namespace="240dd788-319f-4943-88e1-3b7713b408be"/>
    <xsd:import namespace="af00d09b-de60-4958-ac74-29cb2f902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d788-319f-4943-88e1-3b7713b40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0d09b-de60-4958-ac74-29cb2f902e3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7f2ef19-7a23-4ec3-9a9a-79b2e148a1c5}" ma:internalName="TaxCatchAll" ma:showField="CatchAllData" ma:web="af00d09b-de60-4958-ac74-29cb2f902e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00d09b-de60-4958-ac74-29cb2f902e32" xsi:nil="true"/>
    <lcf76f155ced4ddcb4097134ff3c332f xmlns="240dd788-319f-4943-88e1-3b7713b408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161C-EA40-4312-97FB-D2287EE8F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d788-319f-4943-88e1-3b7713b408be"/>
    <ds:schemaRef ds:uri="af00d09b-de60-4958-ac74-29cb2f90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7E570-932F-4BAC-8FCC-A78E8F570CB0}">
  <ds:schemaRefs>
    <ds:schemaRef ds:uri="http://schemas.microsoft.com/sharepoint/v3/contenttype/forms"/>
  </ds:schemaRefs>
</ds:datastoreItem>
</file>

<file path=customXml/itemProps3.xml><?xml version="1.0" encoding="utf-8"?>
<ds:datastoreItem xmlns:ds="http://schemas.openxmlformats.org/officeDocument/2006/customXml" ds:itemID="{2E9B0CB1-CF63-43C4-B21C-3CFD1DF2F0FF}">
  <ds:schemaRefs>
    <ds:schemaRef ds:uri="http://schemas.microsoft.com/office/2006/metadata/properties"/>
    <ds:schemaRef ds:uri="http://schemas.microsoft.com/office/infopath/2007/PartnerControls"/>
    <ds:schemaRef ds:uri="af00d09b-de60-4958-ac74-29cb2f902e32"/>
    <ds:schemaRef ds:uri="240dd788-319f-4943-88e1-3b7713b408be"/>
  </ds:schemaRefs>
</ds:datastoreItem>
</file>

<file path=customXml/itemProps4.xml><?xml version="1.0" encoding="utf-8"?>
<ds:datastoreItem xmlns:ds="http://schemas.openxmlformats.org/officeDocument/2006/customXml" ds:itemID="{D93FD18B-4614-41E2-8D8D-9FC406EF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8883</Characters>
  <Application>Microsoft Office Word</Application>
  <DocSecurity>4</DocSecurity>
  <Lines>132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2026-06-05T13:13:00Z</dcterms:created>
  <dc:creator>Lijana Vasaitienė</dc:creator>
  <lastModifiedBy>adlibuser</lastModifiedBy>
  <dcterms:modified xsi:type="dcterms:W3CDTF">2026-06-05T13:13:00Z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0x010100AD77D9758E92DA49AEB4CD7025F9DB0E</vt:lpwstr>
  </property>
</Properties>
</file>