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9CFF" w14:textId="4318C1FF" w:rsidR="00D50DFD" w:rsidRDefault="007C555A" w:rsidP="007C555A">
      <w:pPr>
        <w:tabs>
          <w:tab w:val="center" w:pos="4986"/>
          <w:tab w:val="left" w:pos="8190"/>
        </w:tabs>
        <w:rPr>
          <w:b/>
          <w:szCs w:val="24"/>
        </w:rPr>
      </w:pPr>
      <w:r>
        <w:rPr>
          <w:b/>
          <w:szCs w:val="24"/>
        </w:rPr>
        <w:tab/>
      </w:r>
      <w:r>
        <w:rPr>
          <w:b/>
          <w:szCs w:val="24"/>
        </w:rPr>
        <w:tab/>
      </w:r>
    </w:p>
    <w:p w14:paraId="7823D832" w14:textId="686BC3D3" w:rsidR="00D50DFD" w:rsidRDefault="00D50DFD">
      <w:pPr>
        <w:overflowPunct w:val="0"/>
        <w:jc w:val="center"/>
        <w:textAlignment w:val="baseline"/>
        <w:rPr>
          <w:b/>
          <w:szCs w:val="24"/>
        </w:rPr>
      </w:pPr>
    </w:p>
    <w:p w14:paraId="1229F625" w14:textId="77777777" w:rsidR="00D50DFD" w:rsidRDefault="00000000">
      <w:pPr>
        <w:overflowPunct w:val="0"/>
        <w:jc w:val="center"/>
        <w:textAlignment w:val="baseline"/>
        <w:rPr>
          <w:b/>
          <w:szCs w:val="24"/>
        </w:rPr>
      </w:pPr>
      <w:r>
        <w:rPr>
          <w:b/>
          <w:szCs w:val="24"/>
        </w:rPr>
        <w:t>LIETUVOS RESPUBLIKOS ŽEMĖS ŪKIO MINISTRAS</w:t>
      </w:r>
    </w:p>
    <w:p w14:paraId="6ED4A635" w14:textId="77777777" w:rsidR="00D50DFD" w:rsidRDefault="00D50DFD">
      <w:pPr>
        <w:overflowPunct w:val="0"/>
        <w:jc w:val="center"/>
        <w:textAlignment w:val="baseline"/>
        <w:rPr>
          <w:b/>
          <w:szCs w:val="24"/>
        </w:rPr>
      </w:pPr>
    </w:p>
    <w:p w14:paraId="6EF92501" w14:textId="77777777" w:rsidR="00D50DFD" w:rsidRDefault="00000000">
      <w:pPr>
        <w:overflowPunct w:val="0"/>
        <w:jc w:val="center"/>
        <w:textAlignment w:val="baseline"/>
        <w:rPr>
          <w:b/>
          <w:szCs w:val="24"/>
        </w:rPr>
      </w:pPr>
      <w:r>
        <w:rPr>
          <w:b/>
          <w:szCs w:val="24"/>
        </w:rPr>
        <w:t>ĮSAKYMAS</w:t>
      </w:r>
    </w:p>
    <w:p w14:paraId="670D8AFA" w14:textId="100024B6" w:rsidR="00D50DFD" w:rsidRDefault="00000000">
      <w:pPr>
        <w:jc w:val="center"/>
        <w:rPr>
          <w:b/>
          <w:bCs/>
          <w:caps/>
          <w:color w:val="000000"/>
          <w:szCs w:val="24"/>
          <w:lang w:eastAsia="lt-LT"/>
        </w:rPr>
      </w:pPr>
      <w:r>
        <w:rPr>
          <w:b/>
          <w:bCs/>
          <w:caps/>
          <w:color w:val="000000"/>
          <w:szCs w:val="24"/>
          <w:lang w:eastAsia="lt-LT"/>
        </w:rPr>
        <w:t>DĖL LIETUVOS ŽUVININKYSTĖS sektoriaus 2021‒2027 METŲ PROGRAMOS PIRMOJO</w:t>
      </w:r>
      <w:r>
        <w:rPr>
          <w:b/>
          <w:color w:val="000000"/>
          <w:szCs w:val="24"/>
        </w:rPr>
        <w:t xml:space="preserve"> PRIORITETO </w:t>
      </w:r>
      <w:r>
        <w:rPr>
          <w:b/>
          <w:bCs/>
          <w:caps/>
          <w:color w:val="000000"/>
          <w:szCs w:val="24"/>
          <w:lang w:eastAsia="lt-LT"/>
        </w:rPr>
        <w:t>„Tausios žvejybos skatinimas ir vandens biologinių išteklių atkūrimas ir išsaugojimas“</w:t>
      </w:r>
      <w:r>
        <w:rPr>
          <w:b/>
          <w:color w:val="000000"/>
          <w:szCs w:val="24"/>
        </w:rPr>
        <w:t xml:space="preserve"> </w:t>
      </w:r>
      <w:r>
        <w:rPr>
          <w:b/>
          <w:bCs/>
          <w:caps/>
          <w:color w:val="000000"/>
          <w:szCs w:val="24"/>
          <w:lang w:eastAsia="lt-LT"/>
        </w:rPr>
        <w:t>priemonės „</w:t>
      </w:r>
      <w:r w:rsidR="005F5FED" w:rsidRPr="005F5FED">
        <w:rPr>
          <w:b/>
          <w:bCs/>
          <w:caps/>
          <w:color w:val="000000"/>
          <w:szCs w:val="24"/>
          <w:lang w:eastAsia="lt-LT"/>
        </w:rPr>
        <w:t>Jūros šiukšlių ir nepageidaujamos priegaudos tvarkymas</w:t>
      </w:r>
      <w:r>
        <w:rPr>
          <w:b/>
          <w:bCs/>
          <w:caps/>
          <w:color w:val="000000"/>
          <w:szCs w:val="24"/>
          <w:lang w:eastAsia="lt-LT"/>
        </w:rPr>
        <w:t>“ PROJEKTŲ FINANSAVIMO SĄLYGŲ APRAŠO PATVIRTINIMO</w:t>
      </w:r>
    </w:p>
    <w:p w14:paraId="0D997D27" w14:textId="77777777" w:rsidR="00D50DFD" w:rsidRDefault="00D50DFD">
      <w:pPr>
        <w:overflowPunct w:val="0"/>
        <w:jc w:val="center"/>
        <w:textAlignment w:val="baseline"/>
        <w:rPr>
          <w:szCs w:val="24"/>
        </w:rPr>
      </w:pPr>
    </w:p>
    <w:p w14:paraId="5462FCF6" w14:textId="39D5B21F" w:rsidR="00D50DFD" w:rsidRDefault="00000000">
      <w:pPr>
        <w:tabs>
          <w:tab w:val="left" w:pos="709"/>
        </w:tabs>
        <w:overflowPunct w:val="0"/>
        <w:jc w:val="center"/>
        <w:textAlignment w:val="baseline"/>
        <w:rPr>
          <w:szCs w:val="24"/>
          <w:lang w:eastAsia="lt-LT"/>
        </w:rPr>
      </w:pPr>
      <w:r>
        <w:rPr>
          <w:szCs w:val="24"/>
        </w:rPr>
        <w:t>202</w:t>
      </w:r>
      <w:r w:rsidR="005F5FED">
        <w:rPr>
          <w:szCs w:val="24"/>
        </w:rPr>
        <w:t>6</w:t>
      </w:r>
      <w:r>
        <w:rPr>
          <w:szCs w:val="24"/>
        </w:rPr>
        <w:t xml:space="preserve"> m. </w:t>
      </w:r>
      <w:r w:rsidR="005F5FED">
        <w:rPr>
          <w:szCs w:val="24"/>
        </w:rPr>
        <w:t xml:space="preserve">               </w:t>
      </w:r>
      <w:r>
        <w:rPr>
          <w:szCs w:val="24"/>
        </w:rPr>
        <w:t xml:space="preserve"> d. Nr. </w:t>
      </w:r>
      <w:r>
        <w:rPr>
          <w:szCs w:val="24"/>
          <w:lang w:eastAsia="lt-LT"/>
        </w:rPr>
        <w:t>3D-</w:t>
      </w:r>
    </w:p>
    <w:p w14:paraId="748F4141" w14:textId="77777777" w:rsidR="00D50DFD" w:rsidRDefault="00000000">
      <w:pPr>
        <w:tabs>
          <w:tab w:val="left" w:pos="709"/>
        </w:tabs>
        <w:overflowPunct w:val="0"/>
        <w:jc w:val="center"/>
        <w:textAlignment w:val="baseline"/>
        <w:rPr>
          <w:szCs w:val="24"/>
        </w:rPr>
      </w:pPr>
      <w:r>
        <w:rPr>
          <w:szCs w:val="24"/>
        </w:rPr>
        <w:t>Vilnius</w:t>
      </w:r>
    </w:p>
    <w:p w14:paraId="36C75D4A" w14:textId="77777777" w:rsidR="00D50DFD" w:rsidRDefault="00D50DFD">
      <w:pPr>
        <w:overflowPunct w:val="0"/>
        <w:jc w:val="center"/>
        <w:textAlignment w:val="baseline"/>
        <w:rPr>
          <w:szCs w:val="24"/>
        </w:rPr>
      </w:pPr>
    </w:p>
    <w:p w14:paraId="1952B155" w14:textId="77777777" w:rsidR="00D50DFD" w:rsidRDefault="00D50DFD">
      <w:pPr>
        <w:overflowPunct w:val="0"/>
        <w:jc w:val="center"/>
        <w:textAlignment w:val="baseline"/>
        <w:rPr>
          <w:szCs w:val="24"/>
        </w:rPr>
      </w:pPr>
    </w:p>
    <w:p w14:paraId="1469CE5E" w14:textId="77777777" w:rsidR="00D50DFD" w:rsidRDefault="00000000">
      <w:pPr>
        <w:suppressAutoHyphens/>
        <w:spacing w:line="360" w:lineRule="auto"/>
        <w:ind w:firstLine="720"/>
        <w:jc w:val="both"/>
        <w:textAlignment w:val="center"/>
        <w:rPr>
          <w:szCs w:val="24"/>
        </w:rPr>
      </w:pPr>
      <w:r>
        <w:rPr>
          <w:color w:val="000000"/>
          <w:szCs w:val="24"/>
        </w:rPr>
        <w:t xml:space="preserve">Vadovaudamasis 2021 m. birželio 24 d. Europos Parlamento ir Tarybos reglamentu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w:t>
      </w:r>
      <w:r>
        <w:rPr>
          <w:szCs w:val="24"/>
        </w:rPr>
        <w:t xml:space="preserve"> </w:t>
      </w:r>
      <w:r>
        <w:rPr>
          <w:color w:val="000000"/>
          <w:szCs w:val="24"/>
        </w:rPr>
        <w:t xml:space="preserve">Europos Parlamento ir Tarybos reglamentu (ES) Nr. 2021/1139, kuriuo nustatomas Europos jūrų reikalų, žvejybos ir akvakultūros fondas ir iš dalies keičiamas Reglamentas (ES) Nr. 2017/1004, </w:t>
      </w:r>
      <w:r>
        <w:rPr>
          <w:szCs w:val="24"/>
          <w:lang w:eastAsia="lt-LT"/>
        </w:rPr>
        <w:t>ir įgyvendindamas Lietuvos Respublikos Vyriausybės 2020 m. lapkričio 25 d. nutarimo Nr. 1322 „Dėl pasirengimo administruoti Europos Sąjungos lėšas ir jų administravimo“ 4.1.1 papunktį,</w:t>
      </w:r>
    </w:p>
    <w:p w14:paraId="3A1EA060" w14:textId="7CAEEA2B" w:rsidR="00D50DFD" w:rsidRDefault="00000000">
      <w:pPr>
        <w:suppressAutoHyphens/>
        <w:spacing w:line="360" w:lineRule="auto"/>
        <w:ind w:firstLine="720"/>
        <w:jc w:val="both"/>
        <w:textAlignment w:val="center"/>
        <w:rPr>
          <w:szCs w:val="24"/>
        </w:rPr>
      </w:pPr>
      <w:r>
        <w:rPr>
          <w:szCs w:val="24"/>
        </w:rPr>
        <w:t>t v i r t i n u Lietuvos žuvininkystės sektoriaus 2021–2027 metų programos pirmojo prioriteto „Tausios žvejybos skatinimas ir vandens biologinių išteklių atkūrimas ir išsaugojimas“ priemonės „</w:t>
      </w:r>
      <w:r w:rsidR="005F5FED" w:rsidRPr="005F5FED">
        <w:rPr>
          <w:szCs w:val="24"/>
          <w:lang w:eastAsia="lt-LT"/>
        </w:rPr>
        <w:t>Jūros šiukšlių ir nepageidaujamos priegaudos tvarkymas</w:t>
      </w:r>
      <w:r>
        <w:rPr>
          <w:szCs w:val="24"/>
        </w:rPr>
        <w:t>“ projektų finansavimo sąlygų aprašą (pridedama).</w:t>
      </w:r>
    </w:p>
    <w:p w14:paraId="43FB4D81" w14:textId="77777777" w:rsidR="00D50DFD" w:rsidRDefault="00D50DFD">
      <w:pPr>
        <w:tabs>
          <w:tab w:val="left" w:pos="1134"/>
          <w:tab w:val="left" w:pos="6804"/>
        </w:tabs>
        <w:overflowPunct w:val="0"/>
        <w:textAlignment w:val="baseline"/>
      </w:pPr>
    </w:p>
    <w:p w14:paraId="1AD92468" w14:textId="77777777" w:rsidR="00D50DFD" w:rsidRDefault="00D50DFD">
      <w:pPr>
        <w:tabs>
          <w:tab w:val="left" w:pos="1134"/>
          <w:tab w:val="left" w:pos="6804"/>
        </w:tabs>
        <w:overflowPunct w:val="0"/>
        <w:textAlignment w:val="baseline"/>
      </w:pPr>
    </w:p>
    <w:p w14:paraId="17567BC1" w14:textId="77777777" w:rsidR="00D50DFD" w:rsidRDefault="00D50DFD">
      <w:pPr>
        <w:tabs>
          <w:tab w:val="left" w:pos="1134"/>
          <w:tab w:val="left" w:pos="6804"/>
        </w:tabs>
        <w:overflowPunct w:val="0"/>
        <w:textAlignment w:val="baseline"/>
      </w:pPr>
    </w:p>
    <w:p w14:paraId="6BD66A03" w14:textId="6F171A75" w:rsidR="00D50DFD" w:rsidRDefault="00000000">
      <w:pPr>
        <w:tabs>
          <w:tab w:val="left" w:pos="1134"/>
          <w:tab w:val="left" w:pos="6804"/>
        </w:tabs>
        <w:overflowPunct w:val="0"/>
        <w:textAlignment w:val="baseline"/>
        <w:rPr>
          <w:szCs w:val="24"/>
        </w:rPr>
      </w:pPr>
      <w:r>
        <w:rPr>
          <w:szCs w:val="24"/>
        </w:rPr>
        <w:t>Žemės ūkio ministras</w:t>
      </w:r>
      <w:r>
        <w:rPr>
          <w:szCs w:val="24"/>
        </w:rPr>
        <w:tab/>
      </w:r>
    </w:p>
    <w:p w14:paraId="1BADD932" w14:textId="77777777" w:rsidR="00D50DFD" w:rsidRDefault="00D50DFD">
      <w:pPr>
        <w:rPr>
          <w:szCs w:val="24"/>
        </w:rPr>
        <w:sectPr w:rsidR="00D50DFD">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1701" w:left="1701" w:header="567" w:footer="567" w:gutter="0"/>
          <w:cols w:space="1296"/>
          <w:titlePg/>
          <w:docGrid w:linePitch="360"/>
        </w:sectPr>
      </w:pPr>
    </w:p>
    <w:p w14:paraId="77722069" w14:textId="77777777" w:rsidR="00D50DFD" w:rsidRDefault="00000000">
      <w:pPr>
        <w:ind w:firstLine="10206"/>
        <w:textAlignment w:val="center"/>
        <w:rPr>
          <w:color w:val="000000"/>
          <w:szCs w:val="24"/>
          <w:lang w:val="en-GB" w:eastAsia="en-GB"/>
        </w:rPr>
      </w:pPr>
      <w:r>
        <w:rPr>
          <w:color w:val="000000"/>
          <w:szCs w:val="24"/>
          <w:lang w:eastAsia="en-GB"/>
        </w:rPr>
        <w:lastRenderedPageBreak/>
        <w:t>PATVIRTINTA</w:t>
      </w:r>
    </w:p>
    <w:p w14:paraId="705266C2" w14:textId="77777777" w:rsidR="00D50DFD" w:rsidRDefault="00000000">
      <w:pPr>
        <w:ind w:firstLine="10206"/>
        <w:textAlignment w:val="center"/>
        <w:rPr>
          <w:color w:val="000000"/>
          <w:szCs w:val="24"/>
          <w:lang w:eastAsia="en-GB"/>
        </w:rPr>
      </w:pPr>
      <w:r>
        <w:rPr>
          <w:color w:val="000000"/>
          <w:szCs w:val="24"/>
          <w:lang w:eastAsia="en-GB"/>
        </w:rPr>
        <w:t>Lietuvos Respublikos žemės ūkio ministro</w:t>
      </w:r>
    </w:p>
    <w:p w14:paraId="243D222E" w14:textId="336626F3" w:rsidR="00D50DFD" w:rsidRDefault="00000000">
      <w:pPr>
        <w:ind w:firstLine="10206"/>
        <w:textAlignment w:val="center"/>
        <w:rPr>
          <w:szCs w:val="24"/>
          <w:lang w:eastAsia="lt-LT"/>
        </w:rPr>
      </w:pPr>
      <w:r>
        <w:rPr>
          <w:color w:val="000000"/>
          <w:szCs w:val="24"/>
          <w:lang w:eastAsia="en-GB"/>
        </w:rPr>
        <w:t>2</w:t>
      </w:r>
      <w:r>
        <w:rPr>
          <w:color w:val="000000"/>
          <w:spacing w:val="-4"/>
          <w:szCs w:val="24"/>
          <w:lang w:eastAsia="en-GB"/>
        </w:rPr>
        <w:t>0</w:t>
      </w:r>
      <w:r>
        <w:rPr>
          <w:color w:val="000000"/>
          <w:spacing w:val="-4"/>
          <w:szCs w:val="24"/>
          <w:lang w:val="en-US" w:eastAsia="en-GB"/>
        </w:rPr>
        <w:t>2</w:t>
      </w:r>
      <w:r w:rsidR="005F5FED">
        <w:rPr>
          <w:color w:val="000000"/>
          <w:spacing w:val="-4"/>
          <w:szCs w:val="24"/>
          <w:lang w:val="en-US" w:eastAsia="en-GB"/>
        </w:rPr>
        <w:t>6</w:t>
      </w:r>
      <w:r>
        <w:rPr>
          <w:color w:val="000000"/>
          <w:spacing w:val="-4"/>
          <w:szCs w:val="24"/>
          <w:lang w:eastAsia="en-GB"/>
        </w:rPr>
        <w:t xml:space="preserve"> m. </w:t>
      </w:r>
      <w:r w:rsidR="005F5FED">
        <w:rPr>
          <w:color w:val="000000"/>
          <w:spacing w:val="-4"/>
          <w:szCs w:val="24"/>
          <w:lang w:eastAsia="en-GB"/>
        </w:rPr>
        <w:t xml:space="preserve">                 </w:t>
      </w:r>
      <w:r>
        <w:rPr>
          <w:color w:val="000000"/>
          <w:spacing w:val="-4"/>
          <w:szCs w:val="24"/>
          <w:lang w:eastAsia="en-GB"/>
        </w:rPr>
        <w:t xml:space="preserve"> d. įsakymu</w:t>
      </w:r>
      <w:r>
        <w:rPr>
          <w:color w:val="000000"/>
          <w:szCs w:val="24"/>
          <w:lang w:eastAsia="en-GB"/>
        </w:rPr>
        <w:t xml:space="preserve"> </w:t>
      </w:r>
      <w:r>
        <w:rPr>
          <w:color w:val="000000"/>
          <w:spacing w:val="-4"/>
          <w:szCs w:val="24"/>
          <w:lang w:eastAsia="en-GB"/>
        </w:rPr>
        <w:t xml:space="preserve">Nr. </w:t>
      </w:r>
      <w:r>
        <w:rPr>
          <w:szCs w:val="24"/>
          <w:lang w:eastAsia="lt-LT"/>
        </w:rPr>
        <w:t>3D-</w:t>
      </w:r>
    </w:p>
    <w:p w14:paraId="5855025F" w14:textId="77777777" w:rsidR="00D50DFD" w:rsidRDefault="00D50DFD">
      <w:pPr>
        <w:ind w:firstLine="10206"/>
        <w:textAlignment w:val="center"/>
        <w:rPr>
          <w:color w:val="000000"/>
          <w:szCs w:val="24"/>
          <w:lang w:eastAsia="en-GB"/>
        </w:rPr>
      </w:pPr>
    </w:p>
    <w:p w14:paraId="5048D12D" w14:textId="77777777" w:rsidR="00D50DFD" w:rsidRDefault="00D50DFD">
      <w:pPr>
        <w:jc w:val="center"/>
        <w:rPr>
          <w:b/>
          <w:bCs/>
          <w:caps/>
          <w:color w:val="000000"/>
          <w:szCs w:val="24"/>
          <w:lang w:eastAsia="lt-LT"/>
        </w:rPr>
      </w:pPr>
    </w:p>
    <w:p w14:paraId="148D7CF3" w14:textId="77777777" w:rsidR="00D50DFD" w:rsidRDefault="00D50DFD">
      <w:pPr>
        <w:jc w:val="center"/>
        <w:rPr>
          <w:b/>
          <w:bCs/>
          <w:caps/>
          <w:color w:val="000000"/>
          <w:szCs w:val="24"/>
          <w:lang w:eastAsia="lt-LT"/>
        </w:rPr>
      </w:pPr>
    </w:p>
    <w:p w14:paraId="12FF2257" w14:textId="52053E29" w:rsidR="00D50DFD" w:rsidRDefault="00000000">
      <w:pPr>
        <w:jc w:val="center"/>
        <w:rPr>
          <w:b/>
          <w:bCs/>
          <w:caps/>
          <w:color w:val="000000"/>
          <w:szCs w:val="24"/>
          <w:lang w:eastAsia="lt-LT"/>
        </w:rPr>
      </w:pPr>
      <w:r>
        <w:rPr>
          <w:b/>
          <w:bCs/>
          <w:caps/>
          <w:color w:val="000000"/>
          <w:szCs w:val="24"/>
          <w:lang w:eastAsia="lt-LT"/>
        </w:rPr>
        <w:t>LIETUVOS ŽUVININKYSTĖS sektoriaus 2021‒2027 METŲ PROGRAMOS pirmojo</w:t>
      </w:r>
      <w:r>
        <w:rPr>
          <w:b/>
          <w:color w:val="000000"/>
          <w:szCs w:val="24"/>
        </w:rPr>
        <w:t xml:space="preserve"> PRIORITETO </w:t>
      </w:r>
      <w:r>
        <w:rPr>
          <w:b/>
          <w:bCs/>
          <w:caps/>
          <w:color w:val="000000"/>
          <w:szCs w:val="24"/>
          <w:lang w:eastAsia="lt-LT"/>
        </w:rPr>
        <w:t>„Tausios žvejybos skatinimas ir vandens biologinių išteklių atkūrimas ir išsaugojimas“ PRIEMONĖS „</w:t>
      </w:r>
      <w:r w:rsidR="005F5FED" w:rsidRPr="005F5FED">
        <w:rPr>
          <w:b/>
          <w:bCs/>
          <w:caps/>
          <w:color w:val="000000"/>
          <w:szCs w:val="24"/>
          <w:lang w:eastAsia="lt-LT"/>
        </w:rPr>
        <w:t>Jūros šiukšlių ir nepageidaujamos priegaudos tvarkymas</w:t>
      </w:r>
      <w:r>
        <w:rPr>
          <w:b/>
          <w:bCs/>
          <w:caps/>
          <w:color w:val="000000"/>
          <w:szCs w:val="24"/>
          <w:lang w:eastAsia="lt-LT"/>
        </w:rPr>
        <w:t>“ PROJEKTŲ FINANSAVIMO SĄLYGŲ APRAŠAS</w:t>
      </w:r>
    </w:p>
    <w:p w14:paraId="60D50F96" w14:textId="77777777" w:rsidR="00D50DFD" w:rsidRDefault="00D50DFD">
      <w:pPr>
        <w:jc w:val="center"/>
        <w:rPr>
          <w:b/>
          <w:bCs/>
          <w:szCs w:val="24"/>
        </w:rPr>
      </w:pPr>
    </w:p>
    <w:p w14:paraId="68C3DF3B" w14:textId="77777777" w:rsidR="00D50DFD" w:rsidRDefault="00D50DFD">
      <w:pPr>
        <w:rPr>
          <w:i/>
          <w:szCs w:val="24"/>
        </w:rPr>
      </w:pPr>
    </w:p>
    <w:p w14:paraId="3D57D04C" w14:textId="77777777" w:rsidR="00D50DFD" w:rsidRDefault="00000000">
      <w:pPr>
        <w:spacing w:line="259" w:lineRule="auto"/>
        <w:ind w:left="1080" w:hanging="720"/>
        <w:jc w:val="both"/>
        <w:rPr>
          <w:b/>
          <w:szCs w:val="24"/>
        </w:rPr>
      </w:pPr>
      <w:r>
        <w:rPr>
          <w:b/>
          <w:szCs w:val="24"/>
        </w:rPr>
        <w:t>I.</w:t>
      </w:r>
      <w:r>
        <w:rPr>
          <w:b/>
          <w:szCs w:val="24"/>
        </w:rPr>
        <w:tab/>
        <w:t>BENDROSIOS NUOSTATOS</w:t>
      </w:r>
    </w:p>
    <w:p w14:paraId="6CDEC2BB" w14:textId="77777777" w:rsidR="00D50DFD" w:rsidRDefault="00D50DFD">
      <w:pPr>
        <w:rPr>
          <w:szCs w:val="24"/>
        </w:rPr>
      </w:pPr>
    </w:p>
    <w:tbl>
      <w:tblPr>
        <w:tblW w:w="14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22"/>
        <w:gridCol w:w="1560"/>
        <w:gridCol w:w="3118"/>
        <w:gridCol w:w="1418"/>
        <w:gridCol w:w="1559"/>
        <w:gridCol w:w="1559"/>
        <w:gridCol w:w="1412"/>
        <w:gridCol w:w="1241"/>
      </w:tblGrid>
      <w:tr w:rsidR="00D50DFD" w14:paraId="4EBD1E7C" w14:textId="77777777" w:rsidTr="00FE2B9B">
        <w:tc>
          <w:tcPr>
            <w:tcW w:w="1555" w:type="dxa"/>
            <w:vAlign w:val="center"/>
          </w:tcPr>
          <w:p w14:paraId="38E178F2" w14:textId="77777777" w:rsidR="00D50DFD" w:rsidRDefault="00000000">
            <w:pPr>
              <w:jc w:val="center"/>
              <w:rPr>
                <w:b/>
                <w:szCs w:val="24"/>
              </w:rPr>
            </w:pPr>
            <w:r>
              <w:rPr>
                <w:b/>
                <w:bCs/>
                <w:szCs w:val="24"/>
              </w:rPr>
              <w:t>Prioritetas</w:t>
            </w:r>
          </w:p>
        </w:tc>
        <w:tc>
          <w:tcPr>
            <w:tcW w:w="1422" w:type="dxa"/>
            <w:vAlign w:val="center"/>
          </w:tcPr>
          <w:p w14:paraId="3CE99CE1" w14:textId="77777777" w:rsidR="00D50DFD" w:rsidRDefault="00000000">
            <w:pPr>
              <w:jc w:val="center"/>
              <w:rPr>
                <w:b/>
                <w:szCs w:val="24"/>
              </w:rPr>
            </w:pPr>
            <w:r>
              <w:rPr>
                <w:b/>
                <w:bCs/>
                <w:szCs w:val="24"/>
              </w:rPr>
              <w:t>Konkretus tikslas</w:t>
            </w:r>
          </w:p>
        </w:tc>
        <w:tc>
          <w:tcPr>
            <w:tcW w:w="1560" w:type="dxa"/>
            <w:vAlign w:val="center"/>
          </w:tcPr>
          <w:p w14:paraId="693429B8" w14:textId="77777777" w:rsidR="00D50DFD" w:rsidRDefault="00000000">
            <w:pPr>
              <w:jc w:val="center"/>
              <w:rPr>
                <w:b/>
                <w:szCs w:val="24"/>
              </w:rPr>
            </w:pPr>
            <w:r>
              <w:rPr>
                <w:b/>
                <w:bCs/>
                <w:szCs w:val="24"/>
              </w:rPr>
              <w:t>Sektorius, prie kurio turi būti prisidedama projektu</w:t>
            </w:r>
          </w:p>
        </w:tc>
        <w:tc>
          <w:tcPr>
            <w:tcW w:w="3118" w:type="dxa"/>
            <w:vAlign w:val="center"/>
          </w:tcPr>
          <w:p w14:paraId="11316AB6" w14:textId="77777777" w:rsidR="00D50DFD" w:rsidRDefault="00000000">
            <w:pPr>
              <w:jc w:val="center"/>
              <w:rPr>
                <w:b/>
                <w:bCs/>
                <w:szCs w:val="24"/>
              </w:rPr>
            </w:pPr>
            <w:r>
              <w:rPr>
                <w:b/>
                <w:bCs/>
                <w:szCs w:val="24"/>
              </w:rPr>
              <w:t>Paramos gavėjų rūšis</w:t>
            </w:r>
          </w:p>
        </w:tc>
        <w:tc>
          <w:tcPr>
            <w:tcW w:w="1418" w:type="dxa"/>
            <w:vAlign w:val="center"/>
          </w:tcPr>
          <w:p w14:paraId="2FD78D0D" w14:textId="77777777" w:rsidR="00D50DFD" w:rsidRDefault="00000000">
            <w:pPr>
              <w:jc w:val="center"/>
              <w:rPr>
                <w:b/>
                <w:bCs/>
                <w:szCs w:val="24"/>
              </w:rPr>
            </w:pPr>
            <w:r>
              <w:rPr>
                <w:b/>
                <w:bCs/>
                <w:szCs w:val="24"/>
              </w:rPr>
              <w:t>Projektų susietumas su jūrų ir kitais vandenimis</w:t>
            </w:r>
          </w:p>
        </w:tc>
        <w:tc>
          <w:tcPr>
            <w:tcW w:w="1559" w:type="dxa"/>
            <w:vAlign w:val="center"/>
          </w:tcPr>
          <w:p w14:paraId="7B4B09C1" w14:textId="77777777" w:rsidR="00D50DFD" w:rsidRDefault="00000000">
            <w:pPr>
              <w:ind w:firstLine="53"/>
              <w:jc w:val="center"/>
              <w:rPr>
                <w:b/>
                <w:bCs/>
                <w:szCs w:val="24"/>
              </w:rPr>
            </w:pPr>
            <w:r>
              <w:rPr>
                <w:b/>
                <w:bCs/>
                <w:szCs w:val="24"/>
              </w:rPr>
              <w:t>Specialiosios projektų sąsajos</w:t>
            </w:r>
          </w:p>
        </w:tc>
        <w:tc>
          <w:tcPr>
            <w:tcW w:w="1559" w:type="dxa"/>
            <w:vAlign w:val="center"/>
          </w:tcPr>
          <w:p w14:paraId="08C22FBF" w14:textId="77777777" w:rsidR="00D50DFD" w:rsidRDefault="00000000">
            <w:pPr>
              <w:jc w:val="center"/>
              <w:rPr>
                <w:b/>
                <w:bCs/>
                <w:szCs w:val="24"/>
              </w:rPr>
            </w:pPr>
            <w:r>
              <w:rPr>
                <w:b/>
                <w:szCs w:val="24"/>
              </w:rPr>
              <w:t>Projektų rūšis</w:t>
            </w:r>
          </w:p>
        </w:tc>
        <w:tc>
          <w:tcPr>
            <w:tcW w:w="1412" w:type="dxa"/>
            <w:vAlign w:val="center"/>
          </w:tcPr>
          <w:p w14:paraId="1CAE64F7" w14:textId="77777777" w:rsidR="00D50DFD" w:rsidRDefault="00D50DFD">
            <w:pPr>
              <w:jc w:val="center"/>
              <w:rPr>
                <w:b/>
                <w:bCs/>
                <w:szCs w:val="24"/>
              </w:rPr>
            </w:pPr>
          </w:p>
          <w:p w14:paraId="69642282" w14:textId="77777777" w:rsidR="00D50DFD" w:rsidRDefault="00000000">
            <w:pPr>
              <w:jc w:val="center"/>
              <w:rPr>
                <w:b/>
                <w:bCs/>
                <w:szCs w:val="24"/>
              </w:rPr>
            </w:pPr>
            <w:r>
              <w:rPr>
                <w:b/>
                <w:bCs/>
                <w:szCs w:val="24"/>
              </w:rPr>
              <w:t>Intervencinių priemonių rūšis</w:t>
            </w:r>
          </w:p>
        </w:tc>
        <w:tc>
          <w:tcPr>
            <w:tcW w:w="1241" w:type="dxa"/>
            <w:vAlign w:val="center"/>
          </w:tcPr>
          <w:p w14:paraId="418CB9B5" w14:textId="77777777" w:rsidR="00D50DFD" w:rsidRDefault="00000000">
            <w:pPr>
              <w:jc w:val="center"/>
              <w:rPr>
                <w:b/>
                <w:szCs w:val="24"/>
              </w:rPr>
            </w:pPr>
            <w:r>
              <w:rPr>
                <w:b/>
                <w:bCs/>
                <w:szCs w:val="24"/>
              </w:rPr>
              <w:t>Paramos formos kodas</w:t>
            </w:r>
          </w:p>
        </w:tc>
      </w:tr>
      <w:tr w:rsidR="00D50DFD" w14:paraId="53575BCF" w14:textId="77777777" w:rsidTr="00FE2B9B">
        <w:tc>
          <w:tcPr>
            <w:tcW w:w="1555" w:type="dxa"/>
            <w:vAlign w:val="center"/>
          </w:tcPr>
          <w:p w14:paraId="48474AB2" w14:textId="77777777" w:rsidR="00D50DFD" w:rsidRDefault="00000000">
            <w:pPr>
              <w:jc w:val="center"/>
              <w:rPr>
                <w:szCs w:val="24"/>
              </w:rPr>
            </w:pPr>
            <w:r>
              <w:rPr>
                <w:szCs w:val="24"/>
              </w:rPr>
              <w:t>1</w:t>
            </w:r>
          </w:p>
        </w:tc>
        <w:tc>
          <w:tcPr>
            <w:tcW w:w="1422" w:type="dxa"/>
            <w:vAlign w:val="center"/>
          </w:tcPr>
          <w:p w14:paraId="72096BB9" w14:textId="77777777" w:rsidR="00D50DFD" w:rsidRDefault="00000000">
            <w:pPr>
              <w:jc w:val="center"/>
              <w:rPr>
                <w:szCs w:val="24"/>
              </w:rPr>
            </w:pPr>
            <w:r>
              <w:rPr>
                <w:szCs w:val="24"/>
              </w:rPr>
              <w:t>2</w:t>
            </w:r>
          </w:p>
        </w:tc>
        <w:tc>
          <w:tcPr>
            <w:tcW w:w="1560" w:type="dxa"/>
            <w:vAlign w:val="center"/>
          </w:tcPr>
          <w:p w14:paraId="6E7688F9" w14:textId="77777777" w:rsidR="00D50DFD" w:rsidRDefault="00000000">
            <w:pPr>
              <w:jc w:val="center"/>
              <w:rPr>
                <w:szCs w:val="24"/>
              </w:rPr>
            </w:pPr>
            <w:r>
              <w:rPr>
                <w:szCs w:val="24"/>
              </w:rPr>
              <w:t>3</w:t>
            </w:r>
          </w:p>
        </w:tc>
        <w:tc>
          <w:tcPr>
            <w:tcW w:w="3118" w:type="dxa"/>
          </w:tcPr>
          <w:p w14:paraId="5471A088" w14:textId="77777777" w:rsidR="00D50DFD" w:rsidRDefault="00000000">
            <w:pPr>
              <w:jc w:val="center"/>
              <w:rPr>
                <w:szCs w:val="24"/>
              </w:rPr>
            </w:pPr>
            <w:r>
              <w:rPr>
                <w:szCs w:val="24"/>
              </w:rPr>
              <w:t>4</w:t>
            </w:r>
          </w:p>
        </w:tc>
        <w:tc>
          <w:tcPr>
            <w:tcW w:w="1418" w:type="dxa"/>
          </w:tcPr>
          <w:p w14:paraId="262866C9" w14:textId="77777777" w:rsidR="00D50DFD" w:rsidRDefault="00000000">
            <w:pPr>
              <w:jc w:val="center"/>
              <w:rPr>
                <w:szCs w:val="24"/>
              </w:rPr>
            </w:pPr>
            <w:r>
              <w:rPr>
                <w:szCs w:val="24"/>
              </w:rPr>
              <w:t>5</w:t>
            </w:r>
          </w:p>
        </w:tc>
        <w:tc>
          <w:tcPr>
            <w:tcW w:w="1559" w:type="dxa"/>
          </w:tcPr>
          <w:p w14:paraId="76FBFDA4" w14:textId="77777777" w:rsidR="00D50DFD" w:rsidRDefault="00000000">
            <w:pPr>
              <w:jc w:val="center"/>
              <w:rPr>
                <w:szCs w:val="24"/>
              </w:rPr>
            </w:pPr>
            <w:r>
              <w:rPr>
                <w:szCs w:val="24"/>
              </w:rPr>
              <w:t>6</w:t>
            </w:r>
          </w:p>
        </w:tc>
        <w:tc>
          <w:tcPr>
            <w:tcW w:w="1559" w:type="dxa"/>
            <w:vAlign w:val="center"/>
          </w:tcPr>
          <w:p w14:paraId="3C3E6780" w14:textId="77777777" w:rsidR="00D50DFD" w:rsidRDefault="00000000">
            <w:pPr>
              <w:jc w:val="center"/>
              <w:rPr>
                <w:szCs w:val="24"/>
              </w:rPr>
            </w:pPr>
            <w:r>
              <w:rPr>
                <w:szCs w:val="24"/>
              </w:rPr>
              <w:t>8</w:t>
            </w:r>
          </w:p>
        </w:tc>
        <w:tc>
          <w:tcPr>
            <w:tcW w:w="1412" w:type="dxa"/>
          </w:tcPr>
          <w:p w14:paraId="41157B22" w14:textId="77777777" w:rsidR="00D50DFD" w:rsidRDefault="00000000">
            <w:pPr>
              <w:jc w:val="center"/>
              <w:rPr>
                <w:szCs w:val="24"/>
              </w:rPr>
            </w:pPr>
            <w:r>
              <w:rPr>
                <w:szCs w:val="24"/>
              </w:rPr>
              <w:t>7</w:t>
            </w:r>
          </w:p>
        </w:tc>
        <w:tc>
          <w:tcPr>
            <w:tcW w:w="1241" w:type="dxa"/>
            <w:vAlign w:val="center"/>
          </w:tcPr>
          <w:p w14:paraId="702194D3" w14:textId="77777777" w:rsidR="00D50DFD" w:rsidRDefault="00000000">
            <w:pPr>
              <w:jc w:val="center"/>
              <w:rPr>
                <w:szCs w:val="24"/>
              </w:rPr>
            </w:pPr>
            <w:r>
              <w:rPr>
                <w:szCs w:val="24"/>
              </w:rPr>
              <w:t>9</w:t>
            </w:r>
          </w:p>
        </w:tc>
      </w:tr>
      <w:tr w:rsidR="00D50DFD" w14:paraId="3F63B3FE" w14:textId="77777777" w:rsidTr="00FE2B9B">
        <w:trPr>
          <w:trHeight w:val="278"/>
        </w:trPr>
        <w:tc>
          <w:tcPr>
            <w:tcW w:w="1555" w:type="dxa"/>
          </w:tcPr>
          <w:p w14:paraId="596A0976" w14:textId="77777777" w:rsidR="00D50DFD" w:rsidRDefault="00000000">
            <w:pPr>
              <w:rPr>
                <w:szCs w:val="24"/>
              </w:rPr>
            </w:pPr>
            <w:r>
              <w:rPr>
                <w:szCs w:val="24"/>
              </w:rPr>
              <w:t>01 Tausios žvejybos skatinimas ir vandens biologinių išteklių atkūrimas ir išsaugojimas</w:t>
            </w:r>
          </w:p>
        </w:tc>
        <w:tc>
          <w:tcPr>
            <w:tcW w:w="1422" w:type="dxa"/>
          </w:tcPr>
          <w:p w14:paraId="53F9D7F8" w14:textId="6CADBB2A" w:rsidR="00D50DFD" w:rsidRDefault="00000000">
            <w:pPr>
              <w:rPr>
                <w:bCs/>
                <w:i/>
                <w:szCs w:val="24"/>
              </w:rPr>
            </w:pPr>
            <w:r>
              <w:rPr>
                <w:bCs/>
                <w:szCs w:val="24"/>
              </w:rPr>
              <w:t>1.</w:t>
            </w:r>
            <w:r w:rsidR="004B2DC1">
              <w:rPr>
                <w:bCs/>
                <w:szCs w:val="24"/>
              </w:rPr>
              <w:t>6</w:t>
            </w:r>
            <w:r>
              <w:rPr>
                <w:bCs/>
                <w:szCs w:val="24"/>
              </w:rPr>
              <w:t xml:space="preserve">. </w:t>
            </w:r>
            <w:r w:rsidR="004B2DC1">
              <w:rPr>
                <w:bCs/>
                <w:szCs w:val="24"/>
              </w:rPr>
              <w:t>A</w:t>
            </w:r>
            <w:r w:rsidR="004B2DC1" w:rsidRPr="004B2DC1">
              <w:rPr>
                <w:bCs/>
                <w:szCs w:val="24"/>
              </w:rPr>
              <w:t>psaugoti ir atkurti vandens biologinę įvairovę ir ekosistemas</w:t>
            </w:r>
          </w:p>
        </w:tc>
        <w:tc>
          <w:tcPr>
            <w:tcW w:w="1560" w:type="dxa"/>
          </w:tcPr>
          <w:p w14:paraId="388F5C02" w14:textId="77777777" w:rsidR="00D50DFD" w:rsidRDefault="00000000">
            <w:pPr>
              <w:rPr>
                <w:szCs w:val="24"/>
              </w:rPr>
            </w:pPr>
            <w:r>
              <w:rPr>
                <w:szCs w:val="24"/>
              </w:rPr>
              <w:t>05 Aplinka;</w:t>
            </w:r>
          </w:p>
          <w:p w14:paraId="6A20EF3A" w14:textId="5C3F70F1" w:rsidR="00684861" w:rsidRDefault="00684861">
            <w:pPr>
              <w:rPr>
                <w:szCs w:val="24"/>
              </w:rPr>
            </w:pPr>
            <w:r>
              <w:rPr>
                <w:szCs w:val="24"/>
              </w:rPr>
              <w:t>06 Jūros (išskyrus žvejybą ir akvakultūrą)</w:t>
            </w:r>
          </w:p>
          <w:p w14:paraId="6EC993E9" w14:textId="6FED52D6" w:rsidR="00D50DFD" w:rsidRDefault="00D50DFD">
            <w:pPr>
              <w:rPr>
                <w:b/>
                <w:i/>
                <w:szCs w:val="24"/>
              </w:rPr>
            </w:pPr>
          </w:p>
        </w:tc>
        <w:tc>
          <w:tcPr>
            <w:tcW w:w="3118" w:type="dxa"/>
          </w:tcPr>
          <w:p w14:paraId="686E51D8" w14:textId="77777777" w:rsidR="00D50DFD" w:rsidRDefault="00000000">
            <w:pPr>
              <w:rPr>
                <w:szCs w:val="24"/>
              </w:rPr>
            </w:pPr>
            <w:r>
              <w:rPr>
                <w:szCs w:val="24"/>
              </w:rPr>
              <w:t>08 Mokslinių tyrimų centras / universitetas / mokslininkai;</w:t>
            </w:r>
          </w:p>
          <w:p w14:paraId="6B46C812" w14:textId="569BF09D" w:rsidR="00D50DFD" w:rsidRDefault="00000000">
            <w:pPr>
              <w:rPr>
                <w:szCs w:val="24"/>
              </w:rPr>
            </w:pPr>
            <w:r>
              <w:rPr>
                <w:szCs w:val="24"/>
              </w:rPr>
              <w:t>asociacija;</w:t>
            </w:r>
          </w:p>
          <w:p w14:paraId="0B908E13" w14:textId="77777777" w:rsidR="00D50DFD" w:rsidRDefault="00000000">
            <w:pPr>
              <w:rPr>
                <w:szCs w:val="24"/>
              </w:rPr>
            </w:pPr>
            <w:r>
              <w:rPr>
                <w:szCs w:val="24"/>
              </w:rPr>
              <w:t>10 Švietimo įstaiga.</w:t>
            </w:r>
          </w:p>
          <w:p w14:paraId="15765D5E" w14:textId="376A9C90" w:rsidR="00B635DE" w:rsidRDefault="00B635DE">
            <w:pPr>
              <w:rPr>
                <w:i/>
                <w:szCs w:val="24"/>
              </w:rPr>
            </w:pPr>
          </w:p>
        </w:tc>
        <w:tc>
          <w:tcPr>
            <w:tcW w:w="1418" w:type="dxa"/>
          </w:tcPr>
          <w:p w14:paraId="78E89851" w14:textId="77777777" w:rsidR="00D50DFD" w:rsidRDefault="00000000">
            <w:pPr>
              <w:rPr>
                <w:bCs/>
                <w:iCs/>
                <w:szCs w:val="24"/>
              </w:rPr>
            </w:pPr>
            <w:r>
              <w:rPr>
                <w:bCs/>
                <w:iCs/>
                <w:szCs w:val="24"/>
              </w:rPr>
              <w:t>01 Jūros</w:t>
            </w:r>
          </w:p>
          <w:p w14:paraId="3AF73C57" w14:textId="77777777" w:rsidR="00D50DFD" w:rsidRDefault="00D50DFD" w:rsidP="005F5FED">
            <w:pPr>
              <w:rPr>
                <w:i/>
                <w:szCs w:val="24"/>
              </w:rPr>
            </w:pPr>
          </w:p>
        </w:tc>
        <w:tc>
          <w:tcPr>
            <w:tcW w:w="1559" w:type="dxa"/>
          </w:tcPr>
          <w:p w14:paraId="39D2A7E1" w14:textId="77777777" w:rsidR="00D50DFD" w:rsidRDefault="00000000">
            <w:pPr>
              <w:rPr>
                <w:szCs w:val="24"/>
              </w:rPr>
            </w:pPr>
            <w:r>
              <w:rPr>
                <w:szCs w:val="24"/>
              </w:rPr>
              <w:t>31 Su klimato kaita susijęs veiksmas</w:t>
            </w:r>
          </w:p>
        </w:tc>
        <w:tc>
          <w:tcPr>
            <w:tcW w:w="1559" w:type="dxa"/>
          </w:tcPr>
          <w:p w14:paraId="617F2725" w14:textId="77777777" w:rsidR="00D50DFD" w:rsidRDefault="00000000">
            <w:pPr>
              <w:rPr>
                <w:iCs/>
                <w:szCs w:val="24"/>
              </w:rPr>
            </w:pPr>
            <w:r>
              <w:rPr>
                <w:iCs/>
                <w:szCs w:val="24"/>
              </w:rPr>
              <w:t>21 Studijos ir moksliniai tyrimai;</w:t>
            </w:r>
          </w:p>
          <w:p w14:paraId="50096259" w14:textId="3AF2DC7F" w:rsidR="00FE2B9B" w:rsidRDefault="00FE2B9B">
            <w:pPr>
              <w:rPr>
                <w:iCs/>
                <w:szCs w:val="24"/>
              </w:rPr>
            </w:pPr>
            <w:r>
              <w:rPr>
                <w:iCs/>
                <w:szCs w:val="24"/>
              </w:rPr>
              <w:t>22 Dalijimasis žiniomis</w:t>
            </w:r>
          </w:p>
          <w:p w14:paraId="32DA87DA" w14:textId="77777777" w:rsidR="00D50DFD" w:rsidRDefault="00FE2B9B">
            <w:pPr>
              <w:rPr>
                <w:iCs/>
                <w:szCs w:val="24"/>
              </w:rPr>
            </w:pPr>
            <w:r w:rsidRPr="00FE2B9B">
              <w:rPr>
                <w:iCs/>
                <w:szCs w:val="24"/>
              </w:rPr>
              <w:t>26 Jūrą teršiančių šiukšlių surinkimas ir (arba) šalinimas</w:t>
            </w:r>
          </w:p>
          <w:p w14:paraId="0AF443B0" w14:textId="77777777" w:rsidR="00FE2B9B" w:rsidRDefault="00FE2B9B">
            <w:pPr>
              <w:rPr>
                <w:iCs/>
                <w:szCs w:val="24"/>
              </w:rPr>
            </w:pPr>
            <w:r>
              <w:rPr>
                <w:iCs/>
                <w:szCs w:val="24"/>
              </w:rPr>
              <w:lastRenderedPageBreak/>
              <w:t>41 Taršos/užterštumo mažinimas ir prevencija</w:t>
            </w:r>
          </w:p>
          <w:p w14:paraId="660DB06C" w14:textId="06CC3273" w:rsidR="00FE2B9B" w:rsidRPr="00FE2B9B" w:rsidRDefault="00FE2B9B">
            <w:pPr>
              <w:rPr>
                <w:iCs/>
                <w:szCs w:val="24"/>
              </w:rPr>
            </w:pPr>
            <w:r>
              <w:rPr>
                <w:iCs/>
                <w:szCs w:val="24"/>
              </w:rPr>
              <w:t>56 Bandomieji projektai</w:t>
            </w:r>
          </w:p>
        </w:tc>
        <w:tc>
          <w:tcPr>
            <w:tcW w:w="1412" w:type="dxa"/>
          </w:tcPr>
          <w:p w14:paraId="36361459" w14:textId="77777777" w:rsidR="00D50DFD" w:rsidRDefault="00000000">
            <w:pPr>
              <w:rPr>
                <w:i/>
                <w:szCs w:val="24"/>
              </w:rPr>
            </w:pPr>
            <w:r>
              <w:rPr>
                <w:szCs w:val="24"/>
              </w:rPr>
              <w:lastRenderedPageBreak/>
              <w:t>01 Mažinti neigiamą poveikį ir (arba) prisidėti prie teigiamo poveikio aplinkai ir prisidėti prie geros aplinkos būklės</w:t>
            </w:r>
          </w:p>
        </w:tc>
        <w:tc>
          <w:tcPr>
            <w:tcW w:w="1241" w:type="dxa"/>
          </w:tcPr>
          <w:p w14:paraId="53B77080" w14:textId="77777777" w:rsidR="00D50DFD" w:rsidRDefault="00000000">
            <w:pPr>
              <w:rPr>
                <w:b/>
                <w:i/>
                <w:szCs w:val="24"/>
              </w:rPr>
            </w:pPr>
            <w:r>
              <w:rPr>
                <w:bCs/>
                <w:iCs/>
                <w:szCs w:val="24"/>
              </w:rPr>
              <w:t>01 Dotacijos</w:t>
            </w:r>
          </w:p>
        </w:tc>
      </w:tr>
    </w:tbl>
    <w:p w14:paraId="6EFCFAC7" w14:textId="77777777" w:rsidR="00D50DFD" w:rsidRDefault="00D50DFD">
      <w:pPr>
        <w:ind w:firstLine="567"/>
        <w:jc w:val="both"/>
        <w:rPr>
          <w:b/>
          <w:b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D50DFD" w14:paraId="3F8EA19D" w14:textId="77777777">
        <w:tc>
          <w:tcPr>
            <w:tcW w:w="14709" w:type="dxa"/>
          </w:tcPr>
          <w:p w14:paraId="7A2D8685" w14:textId="77777777" w:rsidR="00D50DFD" w:rsidRDefault="00000000">
            <w:pPr>
              <w:ind w:left="1080" w:hanging="720"/>
              <w:rPr>
                <w:b/>
                <w:szCs w:val="24"/>
              </w:rPr>
            </w:pPr>
            <w:r>
              <w:rPr>
                <w:b/>
                <w:szCs w:val="24"/>
              </w:rPr>
              <w:t>II.</w:t>
            </w:r>
            <w:r>
              <w:rPr>
                <w:b/>
                <w:szCs w:val="24"/>
              </w:rPr>
              <w:tab/>
              <w:t>SPECIALIEJI FINANSAVIMO REIKALAVIMAI</w:t>
            </w:r>
          </w:p>
        </w:tc>
      </w:tr>
      <w:tr w:rsidR="00D50DFD" w14:paraId="314DA2BD" w14:textId="77777777">
        <w:tc>
          <w:tcPr>
            <w:tcW w:w="14709" w:type="dxa"/>
          </w:tcPr>
          <w:p w14:paraId="5DDAE344" w14:textId="77777777" w:rsidR="00D50DFD" w:rsidRDefault="00000000">
            <w:pPr>
              <w:rPr>
                <w:b/>
                <w:bCs/>
                <w:szCs w:val="24"/>
              </w:rPr>
            </w:pPr>
            <w:r>
              <w:rPr>
                <w:b/>
                <w:bCs/>
                <w:szCs w:val="24"/>
              </w:rPr>
              <w:t>1. Taikomi teisės aktai</w:t>
            </w:r>
          </w:p>
        </w:tc>
      </w:tr>
      <w:tr w:rsidR="00D50DFD" w14:paraId="40323FF2" w14:textId="77777777">
        <w:tc>
          <w:tcPr>
            <w:tcW w:w="14709" w:type="dxa"/>
          </w:tcPr>
          <w:p w14:paraId="0A68E9E1" w14:textId="77777777" w:rsidR="00D50DFD" w:rsidRDefault="00000000">
            <w:pPr>
              <w:tabs>
                <w:tab w:val="left" w:pos="452"/>
              </w:tabs>
              <w:spacing w:line="360" w:lineRule="auto"/>
              <w:jc w:val="both"/>
              <w:rPr>
                <w:color w:val="000000"/>
                <w:szCs w:val="24"/>
              </w:rPr>
            </w:pPr>
            <w:r>
              <w:rPr>
                <w:color w:val="000000"/>
                <w:szCs w:val="24"/>
              </w:rPr>
              <w:t>1.1.</w:t>
            </w:r>
            <w:r>
              <w:rPr>
                <w:color w:val="000000"/>
                <w:szCs w:val="24"/>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Nr. 2021/1060);</w:t>
            </w:r>
          </w:p>
          <w:p w14:paraId="75E11F92" w14:textId="77777777" w:rsidR="00D50DFD" w:rsidRDefault="00000000">
            <w:pPr>
              <w:tabs>
                <w:tab w:val="left" w:pos="452"/>
              </w:tabs>
              <w:spacing w:line="360" w:lineRule="auto"/>
              <w:jc w:val="both"/>
              <w:rPr>
                <w:szCs w:val="24"/>
              </w:rPr>
            </w:pPr>
            <w:r>
              <w:rPr>
                <w:szCs w:val="24"/>
              </w:rPr>
              <w:t>1.2.</w:t>
            </w:r>
            <w:r>
              <w:rPr>
                <w:szCs w:val="24"/>
              </w:rPr>
              <w:tab/>
            </w:r>
            <w:r>
              <w:rPr>
                <w:color w:val="000000"/>
                <w:szCs w:val="24"/>
              </w:rPr>
              <w:t xml:space="preserve">2021 m. liepos 7 d. </w:t>
            </w:r>
            <w:r>
              <w:rPr>
                <w:szCs w:val="24"/>
              </w:rPr>
              <w:t xml:space="preserve"> </w:t>
            </w:r>
            <w:r>
              <w:rPr>
                <w:color w:val="000000"/>
                <w:szCs w:val="24"/>
              </w:rPr>
              <w:t>Europos Parlamento ir Tarybos reglamentas (ES) Nr. 2021/1139, kuriuo nustatomas Europos jūrų reikalų, žvejybos ir akvakultūros fondas ir iš dalies keičiamas Reglamentas (ES) Nr. 2017/1004 (toliau – Reglamentas (ES) Nr. 2021/1139);</w:t>
            </w:r>
          </w:p>
          <w:p w14:paraId="58852524" w14:textId="77777777" w:rsidR="00D50DFD" w:rsidRDefault="00000000">
            <w:pPr>
              <w:tabs>
                <w:tab w:val="left" w:pos="452"/>
              </w:tabs>
              <w:spacing w:line="360" w:lineRule="auto"/>
              <w:jc w:val="both"/>
              <w:rPr>
                <w:szCs w:val="24"/>
              </w:rPr>
            </w:pPr>
            <w:r>
              <w:rPr>
                <w:szCs w:val="24"/>
              </w:rPr>
              <w:t>1.3.</w:t>
            </w:r>
            <w:r>
              <w:rPr>
                <w:szCs w:val="24"/>
              </w:rPr>
              <w:tab/>
              <w:t xml:space="preserve"> Lietuvos žuvininkystės sektoriaus 2021–2027 metų programa (toliau – Žuvininkystės programa), patvirtinta 2022 m. spalio 31 d. </w:t>
            </w:r>
            <w:r>
              <w:rPr>
                <w:bCs/>
                <w:szCs w:val="24"/>
              </w:rPr>
              <w:t>Europos Komisijos įgyvendinimo sprendimu C(2022) 8008</w:t>
            </w:r>
            <w:r>
              <w:rPr>
                <w:szCs w:val="24"/>
              </w:rPr>
              <w:t xml:space="preserve">;  </w:t>
            </w:r>
          </w:p>
          <w:p w14:paraId="0DB19E1E" w14:textId="2F7E33B2" w:rsidR="00D50DFD" w:rsidRDefault="00000000">
            <w:pPr>
              <w:tabs>
                <w:tab w:val="left" w:pos="452"/>
              </w:tabs>
              <w:spacing w:line="360" w:lineRule="auto"/>
              <w:jc w:val="both"/>
              <w:rPr>
                <w:szCs w:val="24"/>
              </w:rPr>
            </w:pPr>
            <w:r>
              <w:rPr>
                <w:szCs w:val="24"/>
              </w:rPr>
              <w:t>1.</w:t>
            </w:r>
            <w:r w:rsidR="00234CF7">
              <w:rPr>
                <w:szCs w:val="24"/>
              </w:rPr>
              <w:t>4</w:t>
            </w:r>
            <w:r>
              <w:rPr>
                <w:szCs w:val="24"/>
              </w:rPr>
              <w:t>.</w:t>
            </w:r>
            <w:r>
              <w:rPr>
                <w:szCs w:val="24"/>
              </w:rPr>
              <w:tab/>
              <w:t>Lietuvos žuvininkystės sektoriaus 2021–2027 metų programos administravimo taisyklės (toliau – Žuvininkystės programos administravimo taisyklės), patvirtintos Lietuvos Respublikos žemės ūkio ministro 2022 m. gruodžio 12 d. įsakymu Nr. 3D-798 „Dėl Lietuvos žuvininkystės sektoriaus 2021–2027 metų programos administravimo taisyklių patvirtinimo“;</w:t>
            </w:r>
          </w:p>
          <w:p w14:paraId="720B8D22" w14:textId="54A1F323" w:rsidR="00D50DFD" w:rsidRDefault="00000000">
            <w:pPr>
              <w:tabs>
                <w:tab w:val="left" w:pos="452"/>
              </w:tabs>
              <w:spacing w:line="360" w:lineRule="auto"/>
              <w:jc w:val="both"/>
              <w:rPr>
                <w:szCs w:val="24"/>
              </w:rPr>
            </w:pPr>
            <w:r>
              <w:rPr>
                <w:szCs w:val="24"/>
              </w:rPr>
              <w:t>1.</w:t>
            </w:r>
            <w:r w:rsidR="00234CF7">
              <w:rPr>
                <w:szCs w:val="24"/>
              </w:rPr>
              <w:t>5</w:t>
            </w:r>
            <w:r>
              <w:rPr>
                <w:szCs w:val="24"/>
              </w:rPr>
              <w:t>. Lietuvos žuvininkystės sektoriaus 2021–2027 metų programos projektų finansavimo ir administravimo taisyklės (toliau – PFAT), patvirtintos Lietuvos Respublikos žemės ūkio ministro 2023 m. birželio 23 d. įsakymu Nr. 3D-414 „Dėl Lietuvos žuvininkystės sektoriaus 2021–2027 metų programos projektų finansavimo ir administravimo taisyklių patvirtinimo“.</w:t>
            </w:r>
          </w:p>
        </w:tc>
      </w:tr>
      <w:tr w:rsidR="00D50DFD" w14:paraId="42DAD2FF" w14:textId="77777777">
        <w:tc>
          <w:tcPr>
            <w:tcW w:w="14709" w:type="dxa"/>
          </w:tcPr>
          <w:p w14:paraId="62CC04A6" w14:textId="77777777" w:rsidR="00D50DFD" w:rsidRDefault="00000000">
            <w:pPr>
              <w:spacing w:line="360" w:lineRule="auto"/>
              <w:jc w:val="both"/>
              <w:rPr>
                <w:b/>
                <w:bCs/>
                <w:szCs w:val="24"/>
              </w:rPr>
            </w:pPr>
            <w:r>
              <w:rPr>
                <w:b/>
                <w:bCs/>
                <w:szCs w:val="24"/>
              </w:rPr>
              <w:lastRenderedPageBreak/>
              <w:t>2. Galima didžiausia paramos suma projektui ir paramos intensyvumo norma</w:t>
            </w:r>
          </w:p>
          <w:p w14:paraId="47DB370F" w14:textId="4A1FA1A8" w:rsidR="00D50DFD" w:rsidRDefault="00000000">
            <w:pPr>
              <w:spacing w:line="360" w:lineRule="auto"/>
              <w:jc w:val="both"/>
              <w:rPr>
                <w:color w:val="000000"/>
                <w:szCs w:val="24"/>
              </w:rPr>
            </w:pPr>
            <w:r>
              <w:rPr>
                <w:color w:val="000000"/>
                <w:szCs w:val="24"/>
              </w:rPr>
              <w:t>2.1.  Pagal Lietuvos žuvininkystės sektoriaus 2021–2027 metų programos pirmojo prioriteto „Tausios žvejybos skatinimas ir vandens biologinių išteklių atkūrimas ir išsaugojimas“ priemonės „</w:t>
            </w:r>
            <w:r w:rsidR="005F5FED" w:rsidRPr="005F5FED">
              <w:rPr>
                <w:szCs w:val="24"/>
                <w:lang w:eastAsia="lt-LT"/>
              </w:rPr>
              <w:t>Jūros šiukšlių ir nepageidaujamos priegaudos tvarkymas</w:t>
            </w:r>
            <w:r>
              <w:rPr>
                <w:color w:val="000000"/>
                <w:szCs w:val="24"/>
              </w:rPr>
              <w:t xml:space="preserve">“ projektų finansavimo sąlygų aprašą (toliau – Aprašas)  projektams įgyvendinti skiriama iki </w:t>
            </w:r>
            <w:r w:rsidR="00775C72">
              <w:rPr>
                <w:color w:val="000000"/>
                <w:szCs w:val="24"/>
              </w:rPr>
              <w:t>2 20</w:t>
            </w:r>
            <w:r>
              <w:rPr>
                <w:color w:val="000000"/>
                <w:szCs w:val="24"/>
              </w:rPr>
              <w:t>0 000 Eur (</w:t>
            </w:r>
            <w:r w:rsidR="00775C72">
              <w:rPr>
                <w:color w:val="000000"/>
                <w:szCs w:val="24"/>
              </w:rPr>
              <w:t xml:space="preserve">dvejų milijonų dvejų </w:t>
            </w:r>
            <w:r>
              <w:rPr>
                <w:color w:val="000000"/>
                <w:szCs w:val="24"/>
              </w:rPr>
              <w:t>šimtų tūkstančių) Eur Europos jūrų reikalų, žvejybos ir akvakultūros fondo (toliau – EJRŽAF) ir bendrojo finansavimo lėšų. Didžiausia galima paramos suma skiriama vienam projekto įgyvendinimo planui (toliau –  PĮP) įgyvendinti –iki 7</w:t>
            </w:r>
            <w:r w:rsidR="00775C72">
              <w:rPr>
                <w:color w:val="000000"/>
                <w:szCs w:val="24"/>
              </w:rPr>
              <w:t>5</w:t>
            </w:r>
            <w:r>
              <w:rPr>
                <w:color w:val="000000"/>
                <w:szCs w:val="24"/>
              </w:rPr>
              <w:t>0 000 Eur.</w:t>
            </w:r>
          </w:p>
          <w:p w14:paraId="5DB9FAE4" w14:textId="5458F138" w:rsidR="00D50DFD" w:rsidRDefault="00000000" w:rsidP="00234CF7">
            <w:pPr>
              <w:spacing w:line="360" w:lineRule="auto"/>
              <w:jc w:val="both"/>
              <w:rPr>
                <w:rFonts w:eastAsia="Calibri"/>
                <w:szCs w:val="24"/>
              </w:rPr>
            </w:pPr>
            <w:r>
              <w:rPr>
                <w:rFonts w:eastAsia="Calibri"/>
                <w:szCs w:val="24"/>
                <w:lang w:eastAsia="lt-LT"/>
              </w:rPr>
              <w:t>2.2. Paramos intensyvumo norma</w:t>
            </w:r>
            <w:r>
              <w:rPr>
                <w:szCs w:val="24"/>
              </w:rPr>
              <w:t xml:space="preserve"> sudaro 100 proc. visų tinkamų finansuoti projekto išlaidų</w:t>
            </w:r>
            <w:r>
              <w:rPr>
                <w:color w:val="000000"/>
                <w:szCs w:val="24"/>
              </w:rPr>
              <w:t xml:space="preserve"> </w:t>
            </w:r>
            <w:r>
              <w:rPr>
                <w:rFonts w:eastAsia="Calibri"/>
                <w:szCs w:val="24"/>
              </w:rPr>
              <w:t>(70 proc. iš EJRŽAF lėšų ir 30 proc. iš bendrojo finansavimo lėšų)</w:t>
            </w:r>
            <w:r>
              <w:rPr>
                <w:szCs w:val="24"/>
              </w:rPr>
              <w:t xml:space="preserve">, kai projektas atitinka </w:t>
            </w:r>
            <w:r>
              <w:rPr>
                <w:rFonts w:eastAsia="Calibri"/>
                <w:szCs w:val="24"/>
              </w:rPr>
              <w:t>visus šiuos kriterijus</w:t>
            </w:r>
          </w:p>
        </w:tc>
      </w:tr>
      <w:tr w:rsidR="00D50DFD" w14:paraId="493E137E" w14:textId="77777777">
        <w:tc>
          <w:tcPr>
            <w:tcW w:w="14709" w:type="dxa"/>
          </w:tcPr>
          <w:p w14:paraId="5FDD5621" w14:textId="77777777" w:rsidR="00D50DFD" w:rsidRDefault="00000000">
            <w:pPr>
              <w:spacing w:line="360" w:lineRule="auto"/>
              <w:rPr>
                <w:b/>
                <w:szCs w:val="24"/>
              </w:rPr>
            </w:pPr>
            <w:r>
              <w:rPr>
                <w:b/>
                <w:szCs w:val="24"/>
              </w:rPr>
              <w:t>3. Reikalavimai projektams</w:t>
            </w:r>
          </w:p>
        </w:tc>
      </w:tr>
      <w:tr w:rsidR="00D50DFD" w14:paraId="4D3E4A80" w14:textId="77777777">
        <w:trPr>
          <w:trHeight w:val="2826"/>
        </w:trPr>
        <w:tc>
          <w:tcPr>
            <w:tcW w:w="14709" w:type="dxa"/>
          </w:tcPr>
          <w:p w14:paraId="6D7EAB01" w14:textId="77777777" w:rsidR="00D50DFD" w:rsidRDefault="00000000">
            <w:pPr>
              <w:spacing w:line="360" w:lineRule="auto"/>
              <w:jc w:val="both"/>
              <w:rPr>
                <w:szCs w:val="24"/>
              </w:rPr>
            </w:pPr>
            <w:r>
              <w:rPr>
                <w:szCs w:val="24"/>
              </w:rPr>
              <w:t xml:space="preserve">3.1. Pagal Aprašą finansuojamos projekto veiklos:  </w:t>
            </w:r>
          </w:p>
          <w:p w14:paraId="198121F8" w14:textId="2310A69D" w:rsidR="00004897" w:rsidRPr="00004897" w:rsidRDefault="00000000" w:rsidP="00004897">
            <w:pPr>
              <w:spacing w:line="360" w:lineRule="auto"/>
              <w:jc w:val="both"/>
              <w:rPr>
                <w:szCs w:val="24"/>
              </w:rPr>
            </w:pPr>
            <w:r>
              <w:rPr>
                <w:szCs w:val="24"/>
              </w:rPr>
              <w:t>3.1.1.</w:t>
            </w:r>
            <w:r w:rsidR="00234CF7">
              <w:rPr>
                <w:szCs w:val="24"/>
              </w:rPr>
              <w:t xml:space="preserve"> </w:t>
            </w:r>
            <w:r w:rsidR="00004897">
              <w:rPr>
                <w:szCs w:val="24"/>
              </w:rPr>
              <w:t>Jūros šiukšlių, (b</w:t>
            </w:r>
            <w:r w:rsidR="00004897" w:rsidRPr="00004897">
              <w:rPr>
                <w:szCs w:val="24"/>
              </w:rPr>
              <w:t>et koki</w:t>
            </w:r>
            <w:r w:rsidR="00004897">
              <w:rPr>
                <w:szCs w:val="24"/>
              </w:rPr>
              <w:t>os</w:t>
            </w:r>
            <w:r w:rsidR="00004897" w:rsidRPr="00004897">
              <w:rPr>
                <w:szCs w:val="24"/>
              </w:rPr>
              <w:t xml:space="preserve"> patvari</w:t>
            </w:r>
            <w:r w:rsidR="00004897">
              <w:rPr>
                <w:szCs w:val="24"/>
              </w:rPr>
              <w:t>os</w:t>
            </w:r>
            <w:r w:rsidR="00004897" w:rsidRPr="00004897">
              <w:rPr>
                <w:szCs w:val="24"/>
              </w:rPr>
              <w:t>, pagamint</w:t>
            </w:r>
            <w:r w:rsidR="00004897">
              <w:rPr>
                <w:szCs w:val="24"/>
              </w:rPr>
              <w:t>os</w:t>
            </w:r>
            <w:r w:rsidR="00004897" w:rsidRPr="00004897">
              <w:rPr>
                <w:szCs w:val="24"/>
              </w:rPr>
              <w:t xml:space="preserve"> arba apdirbt</w:t>
            </w:r>
            <w:r w:rsidR="00004897">
              <w:rPr>
                <w:szCs w:val="24"/>
              </w:rPr>
              <w:t>os</w:t>
            </w:r>
            <w:r w:rsidR="00004897" w:rsidRPr="00004897">
              <w:rPr>
                <w:szCs w:val="24"/>
              </w:rPr>
              <w:t xml:space="preserve"> kiet</w:t>
            </w:r>
            <w:r w:rsidR="00004897">
              <w:rPr>
                <w:szCs w:val="24"/>
              </w:rPr>
              <w:t>os</w:t>
            </w:r>
            <w:r w:rsidR="00004897" w:rsidRPr="00004897">
              <w:rPr>
                <w:szCs w:val="24"/>
              </w:rPr>
              <w:t xml:space="preserve"> medžiag</w:t>
            </w:r>
            <w:r w:rsidR="00004897">
              <w:rPr>
                <w:szCs w:val="24"/>
              </w:rPr>
              <w:t>os</w:t>
            </w:r>
            <w:r w:rsidR="00004897" w:rsidRPr="00004897">
              <w:rPr>
                <w:szCs w:val="24"/>
              </w:rPr>
              <w:t>, išmest</w:t>
            </w:r>
            <w:r w:rsidR="00004897">
              <w:rPr>
                <w:szCs w:val="24"/>
              </w:rPr>
              <w:t>os</w:t>
            </w:r>
            <w:r w:rsidR="00004897" w:rsidRPr="00004897">
              <w:rPr>
                <w:szCs w:val="24"/>
              </w:rPr>
              <w:t>, palikt</w:t>
            </w:r>
            <w:r w:rsidR="00004897">
              <w:rPr>
                <w:szCs w:val="24"/>
              </w:rPr>
              <w:t>os</w:t>
            </w:r>
            <w:r w:rsidR="00004897" w:rsidRPr="00004897">
              <w:rPr>
                <w:szCs w:val="24"/>
              </w:rPr>
              <w:t xml:space="preserve"> ar pamest</w:t>
            </w:r>
            <w:r w:rsidR="00004897">
              <w:rPr>
                <w:szCs w:val="24"/>
              </w:rPr>
              <w:t>os</w:t>
            </w:r>
            <w:r w:rsidR="00004897" w:rsidRPr="00004897">
              <w:rPr>
                <w:szCs w:val="24"/>
              </w:rPr>
              <w:t xml:space="preserve"> jūrinėje arba pakrantės aplinkoje</w:t>
            </w:r>
            <w:r w:rsidR="00004897">
              <w:rPr>
                <w:szCs w:val="24"/>
              </w:rPr>
              <w:t>) didžiausią dėmesį skiriant prarastiems žvejybos įrankiams (tinklams vaiduokliams)</w:t>
            </w:r>
            <w:r w:rsidR="00385D88">
              <w:rPr>
                <w:szCs w:val="24"/>
              </w:rPr>
              <w:t xml:space="preserve"> ir jų priedams (virvės, svareliai, plūdurai), bet tuo neapsiribojant,</w:t>
            </w:r>
          </w:p>
          <w:p w14:paraId="36828BCA" w14:textId="0A00F15A" w:rsidR="0072720D" w:rsidRDefault="00004897">
            <w:pPr>
              <w:spacing w:line="360" w:lineRule="auto"/>
              <w:jc w:val="both"/>
              <w:rPr>
                <w:szCs w:val="24"/>
              </w:rPr>
            </w:pPr>
            <w:r>
              <w:rPr>
                <w:szCs w:val="24"/>
              </w:rPr>
              <w:t>identifikavimas - i</w:t>
            </w:r>
            <w:r w:rsidR="00234CF7">
              <w:rPr>
                <w:szCs w:val="24"/>
              </w:rPr>
              <w:t>nformacijos rinkimas jūros šiukšlių žemėlapio sudarymui</w:t>
            </w:r>
            <w:r w:rsidR="0072720D">
              <w:rPr>
                <w:szCs w:val="24"/>
              </w:rPr>
              <w:t>:</w:t>
            </w:r>
          </w:p>
          <w:p w14:paraId="2F732439" w14:textId="455D0D76" w:rsidR="00D50DFD" w:rsidRDefault="0072720D">
            <w:pPr>
              <w:spacing w:line="360" w:lineRule="auto"/>
              <w:jc w:val="both"/>
              <w:rPr>
                <w:szCs w:val="24"/>
              </w:rPr>
            </w:pPr>
            <w:r>
              <w:rPr>
                <w:szCs w:val="24"/>
              </w:rPr>
              <w:t>3.1.1.1</w:t>
            </w:r>
            <w:r w:rsidR="002B6717">
              <w:rPr>
                <w:szCs w:val="24"/>
              </w:rPr>
              <w:t xml:space="preserve"> istorinių duomenų analizė</w:t>
            </w:r>
          </w:p>
          <w:p w14:paraId="714FBB9B" w14:textId="50D4AC07" w:rsidR="0072720D" w:rsidRDefault="0072720D" w:rsidP="0072720D">
            <w:pPr>
              <w:spacing w:line="360" w:lineRule="auto"/>
              <w:jc w:val="both"/>
              <w:rPr>
                <w:szCs w:val="24"/>
              </w:rPr>
            </w:pPr>
            <w:r>
              <w:rPr>
                <w:szCs w:val="24"/>
              </w:rPr>
              <w:t>3.1.1.2</w:t>
            </w:r>
            <w:r w:rsidR="002B6717">
              <w:rPr>
                <w:szCs w:val="24"/>
              </w:rPr>
              <w:t xml:space="preserve"> Žuvininkystės tarnybos ir kitų institucijų turimų duomenų apie prarastus tinklus analizė</w:t>
            </w:r>
            <w:r w:rsidR="00385D88">
              <w:rPr>
                <w:szCs w:val="24"/>
              </w:rPr>
              <w:t>;</w:t>
            </w:r>
          </w:p>
          <w:p w14:paraId="36880CAF" w14:textId="09D85DF7" w:rsidR="0072720D" w:rsidRDefault="0072720D" w:rsidP="0072720D">
            <w:pPr>
              <w:spacing w:line="360" w:lineRule="auto"/>
              <w:jc w:val="both"/>
              <w:rPr>
                <w:szCs w:val="24"/>
              </w:rPr>
            </w:pPr>
            <w:r>
              <w:rPr>
                <w:szCs w:val="24"/>
              </w:rPr>
              <w:t>3.1.1.3</w:t>
            </w:r>
            <w:r w:rsidR="002B6717">
              <w:rPr>
                <w:szCs w:val="24"/>
              </w:rPr>
              <w:t xml:space="preserve"> Struktūruotas interviu su žvejais, siekiant sužinoti informaciją apie vietas, kuriuose yra nuskendę tinklai ir </w:t>
            </w:r>
            <w:r w:rsidR="00004897">
              <w:rPr>
                <w:szCs w:val="24"/>
              </w:rPr>
              <w:t>gamtinių ar kitokių kliūčių dugne vietas, dėl kurių gali būti prarandami tinklai</w:t>
            </w:r>
            <w:r w:rsidR="00385D88">
              <w:rPr>
                <w:szCs w:val="24"/>
              </w:rPr>
              <w:t>;</w:t>
            </w:r>
          </w:p>
          <w:p w14:paraId="665CDD24" w14:textId="4C9982E7" w:rsidR="0072720D" w:rsidRDefault="0072720D" w:rsidP="0072720D">
            <w:pPr>
              <w:spacing w:line="360" w:lineRule="auto"/>
              <w:jc w:val="both"/>
              <w:rPr>
                <w:szCs w:val="24"/>
              </w:rPr>
            </w:pPr>
            <w:r>
              <w:rPr>
                <w:szCs w:val="24"/>
              </w:rPr>
              <w:t xml:space="preserve">3.1.1.4 </w:t>
            </w:r>
            <w:r w:rsidR="00004897">
              <w:rPr>
                <w:szCs w:val="24"/>
              </w:rPr>
              <w:t>Intensyviausių priekrantės žvejybos barų dugno skenavimas naudojant tyrimų laivą ar sonarus, ar povandeninius dronus</w:t>
            </w:r>
            <w:r w:rsidR="00385D88">
              <w:rPr>
                <w:szCs w:val="24"/>
              </w:rPr>
              <w:t>;</w:t>
            </w:r>
          </w:p>
          <w:p w14:paraId="23BE501E" w14:textId="0332278C" w:rsidR="0072720D" w:rsidRDefault="00000000">
            <w:pPr>
              <w:spacing w:line="360" w:lineRule="auto"/>
              <w:jc w:val="both"/>
              <w:rPr>
                <w:szCs w:val="24"/>
              </w:rPr>
            </w:pPr>
            <w:r>
              <w:rPr>
                <w:szCs w:val="24"/>
              </w:rPr>
              <w:t xml:space="preserve">3.1.2. </w:t>
            </w:r>
            <w:r w:rsidR="00234CF7">
              <w:rPr>
                <w:szCs w:val="24"/>
              </w:rPr>
              <w:t>Jūros šiukšlių žemėlapio sudarymas</w:t>
            </w:r>
            <w:r w:rsidR="00671CB1">
              <w:rPr>
                <w:szCs w:val="24"/>
              </w:rPr>
              <w:t>, kuriame būtų</w:t>
            </w:r>
            <w:r w:rsidR="0072720D">
              <w:rPr>
                <w:szCs w:val="24"/>
              </w:rPr>
              <w:t>:</w:t>
            </w:r>
          </w:p>
          <w:p w14:paraId="7E32400F" w14:textId="48E4F5AC" w:rsidR="0072720D" w:rsidRDefault="0072720D" w:rsidP="0072720D">
            <w:pPr>
              <w:spacing w:line="360" w:lineRule="auto"/>
              <w:jc w:val="both"/>
              <w:rPr>
                <w:szCs w:val="24"/>
              </w:rPr>
            </w:pPr>
            <w:r>
              <w:rPr>
                <w:szCs w:val="24"/>
              </w:rPr>
              <w:lastRenderedPageBreak/>
              <w:t>3.1.2.1</w:t>
            </w:r>
            <w:r w:rsidR="00671CB1">
              <w:rPr>
                <w:szCs w:val="24"/>
              </w:rPr>
              <w:t xml:space="preserve"> pažymėtos </w:t>
            </w:r>
            <w:r w:rsidR="00D4119C">
              <w:rPr>
                <w:szCs w:val="24"/>
              </w:rPr>
              <w:t xml:space="preserve">didžiausios jūrų šiukšlių sankaupų </w:t>
            </w:r>
            <w:r w:rsidR="00671CB1">
              <w:rPr>
                <w:szCs w:val="24"/>
              </w:rPr>
              <w:t>vietos Baltijos jūros ekonominėje zonoje ir Baltijos jūros priekrantėje</w:t>
            </w:r>
            <w:r w:rsidR="00D4119C">
              <w:rPr>
                <w:szCs w:val="24"/>
              </w:rPr>
              <w:t>, jų GPS koordinatės ir jūros gylis</w:t>
            </w:r>
            <w:r w:rsidR="002B6717">
              <w:rPr>
                <w:szCs w:val="24"/>
              </w:rPr>
              <w:t>, duomenys apie jūros d</w:t>
            </w:r>
            <w:r w:rsidR="002B6717" w:rsidRPr="002B6717">
              <w:rPr>
                <w:szCs w:val="24"/>
              </w:rPr>
              <w:t>ugno reljef</w:t>
            </w:r>
            <w:r w:rsidR="002B6717">
              <w:rPr>
                <w:szCs w:val="24"/>
              </w:rPr>
              <w:t>ą (</w:t>
            </w:r>
            <w:r w:rsidR="002B6717" w:rsidRPr="002B6717">
              <w:rPr>
                <w:szCs w:val="24"/>
              </w:rPr>
              <w:t>uolos, vagos, nuolaužos</w:t>
            </w:r>
            <w:r w:rsidR="002B6717">
              <w:rPr>
                <w:szCs w:val="24"/>
              </w:rPr>
              <w:t xml:space="preserve"> – vietos kuriuose didžiausia tikimybė susidaryti jūros šiukšlių sankaupoms</w:t>
            </w:r>
            <w:r w:rsidR="002B6717" w:rsidRPr="002B6717">
              <w:rPr>
                <w:szCs w:val="24"/>
              </w:rPr>
              <w:t>)</w:t>
            </w:r>
            <w:r w:rsidR="002B6717">
              <w:rPr>
                <w:szCs w:val="24"/>
              </w:rPr>
              <w:t>, jūros šiukšlių judėjimo rizikos įvertinimas dėl povandeninių srovių bei potvynių ir atoslūgių.</w:t>
            </w:r>
          </w:p>
          <w:p w14:paraId="506C015A" w14:textId="77777777" w:rsidR="00D4119C" w:rsidRDefault="0072720D" w:rsidP="00D4119C">
            <w:pPr>
              <w:spacing w:line="360" w:lineRule="auto"/>
              <w:jc w:val="both"/>
              <w:rPr>
                <w:szCs w:val="24"/>
              </w:rPr>
            </w:pPr>
            <w:r w:rsidRPr="00D4119C">
              <w:rPr>
                <w:szCs w:val="24"/>
              </w:rPr>
              <w:t>3.1.2.2</w:t>
            </w:r>
            <w:r w:rsidR="00671CB1" w:rsidRPr="00D4119C">
              <w:rPr>
                <w:szCs w:val="24"/>
              </w:rPr>
              <w:t xml:space="preserve"> numatytos tikslinės prioritetinės vietos, kuriose reikia mažinti jūros šiukšlių sankaupas</w:t>
            </w:r>
            <w:r w:rsidR="00177961" w:rsidRPr="00D4119C">
              <w:rPr>
                <w:szCs w:val="24"/>
              </w:rPr>
              <w:t xml:space="preserve">, </w:t>
            </w:r>
            <w:r w:rsidR="00D4119C" w:rsidRPr="00D4119C">
              <w:rPr>
                <w:szCs w:val="24"/>
              </w:rPr>
              <w:t>teikiant prioritetą ekologiškai jautrioms teritorijoms (</w:t>
            </w:r>
            <w:r w:rsidR="00D4119C" w:rsidRPr="00F602C9">
              <w:rPr>
                <w:szCs w:val="24"/>
              </w:rPr>
              <w:t>nerštavietės</w:t>
            </w:r>
            <w:r w:rsidR="00D4119C" w:rsidRPr="00D4119C">
              <w:rPr>
                <w:szCs w:val="24"/>
              </w:rPr>
              <w:t>, saugomos gamtinės teritorijos)</w:t>
            </w:r>
            <w:r w:rsidR="00D4119C">
              <w:rPr>
                <w:szCs w:val="24"/>
              </w:rPr>
              <w:t>;</w:t>
            </w:r>
            <w:r w:rsidR="00D4119C" w:rsidRPr="00D4119C">
              <w:rPr>
                <w:szCs w:val="24"/>
              </w:rPr>
              <w:t xml:space="preserve"> intensyviausioms žvejybinės laivybos ir rekreacijos teritorijoms</w:t>
            </w:r>
            <w:r w:rsidR="00D4119C">
              <w:rPr>
                <w:szCs w:val="24"/>
              </w:rPr>
              <w:t>;</w:t>
            </w:r>
            <w:r w:rsidR="00D4119C" w:rsidRPr="00D4119C">
              <w:rPr>
                <w:szCs w:val="24"/>
              </w:rPr>
              <w:t xml:space="preserve"> teritorijoms, kuriuose įvyks </w:t>
            </w:r>
            <w:r w:rsidR="00D4119C" w:rsidRPr="00F602C9">
              <w:rPr>
                <w:szCs w:val="24"/>
              </w:rPr>
              <w:t xml:space="preserve">greita </w:t>
            </w:r>
            <w:r w:rsidR="00D4119C" w:rsidRPr="00D4119C">
              <w:rPr>
                <w:szCs w:val="24"/>
              </w:rPr>
              <w:t xml:space="preserve">žvejybos </w:t>
            </w:r>
            <w:r w:rsidR="00D4119C" w:rsidRPr="00F602C9">
              <w:rPr>
                <w:szCs w:val="24"/>
              </w:rPr>
              <w:t>tinklų degradacija į mikroplastikus</w:t>
            </w:r>
            <w:r w:rsidR="00D4119C" w:rsidRPr="00D4119C">
              <w:rPr>
                <w:szCs w:val="24"/>
              </w:rPr>
              <w:t>;</w:t>
            </w:r>
          </w:p>
          <w:p w14:paraId="221CE576" w14:textId="12B1AF6A" w:rsidR="0072720D" w:rsidRDefault="0072720D" w:rsidP="00D4119C">
            <w:pPr>
              <w:spacing w:line="360" w:lineRule="auto"/>
              <w:jc w:val="both"/>
              <w:rPr>
                <w:szCs w:val="24"/>
              </w:rPr>
            </w:pPr>
            <w:r>
              <w:rPr>
                <w:szCs w:val="24"/>
              </w:rPr>
              <w:t>3.1.2.3</w:t>
            </w:r>
            <w:r w:rsidR="00671CB1">
              <w:rPr>
                <w:szCs w:val="24"/>
              </w:rPr>
              <w:t xml:space="preserve"> numatyti </w:t>
            </w:r>
            <w:r w:rsidR="00177961">
              <w:rPr>
                <w:szCs w:val="24"/>
              </w:rPr>
              <w:t xml:space="preserve">tinkamiausi </w:t>
            </w:r>
            <w:r w:rsidR="00671CB1">
              <w:rPr>
                <w:szCs w:val="24"/>
              </w:rPr>
              <w:t>būdai</w:t>
            </w:r>
            <w:r w:rsidR="00177961">
              <w:rPr>
                <w:szCs w:val="24"/>
              </w:rPr>
              <w:t>, kaip pašalinti jūros šiukšlių sankaupas</w:t>
            </w:r>
            <w:r w:rsidR="002B6717">
              <w:rPr>
                <w:szCs w:val="24"/>
              </w:rPr>
              <w:t>;</w:t>
            </w:r>
            <w:r w:rsidR="00671CB1">
              <w:rPr>
                <w:szCs w:val="24"/>
              </w:rPr>
              <w:t xml:space="preserve"> </w:t>
            </w:r>
          </w:p>
          <w:p w14:paraId="499B9F8E" w14:textId="5C5EBAA1" w:rsidR="0072720D" w:rsidRDefault="0072720D" w:rsidP="00D4119C">
            <w:pPr>
              <w:spacing w:line="360" w:lineRule="auto"/>
              <w:jc w:val="both"/>
              <w:rPr>
                <w:szCs w:val="24"/>
              </w:rPr>
            </w:pPr>
            <w:r>
              <w:rPr>
                <w:szCs w:val="24"/>
              </w:rPr>
              <w:t xml:space="preserve">3.1.2.4 </w:t>
            </w:r>
            <w:r w:rsidR="00671CB1">
              <w:rPr>
                <w:szCs w:val="24"/>
              </w:rPr>
              <w:t>numatytos tinkamiausios vietos krante konteinerių, į kuriuos iš jūros grįžę žvejai išmestų jūros šiukšles, įrengimu</w:t>
            </w:r>
            <w:r w:rsidR="00D42D7C">
              <w:rPr>
                <w:szCs w:val="24"/>
              </w:rPr>
              <w:t>i ir tinkamiausios vietos paplūdimiuose specialių šiukšliadėžių, skirtų jūros šiukšlėms, įrengimui;</w:t>
            </w:r>
          </w:p>
          <w:p w14:paraId="3D80E71E" w14:textId="1F09417D" w:rsidR="00D50DFD" w:rsidRDefault="00234CF7">
            <w:pPr>
              <w:spacing w:line="360" w:lineRule="auto"/>
              <w:jc w:val="both"/>
              <w:rPr>
                <w:color w:val="000000"/>
                <w:szCs w:val="24"/>
                <w:lang w:eastAsia="lt-LT"/>
              </w:rPr>
            </w:pPr>
            <w:r>
              <w:rPr>
                <w:szCs w:val="24"/>
              </w:rPr>
              <w:t>3.1.3. Jūros šiukšlių žemėlapio viešinimas</w:t>
            </w:r>
            <w:r w:rsidR="002B6717">
              <w:rPr>
                <w:szCs w:val="24"/>
              </w:rPr>
              <w:t>;</w:t>
            </w:r>
          </w:p>
          <w:p w14:paraId="1BC40D66" w14:textId="029018FA" w:rsidR="00D50DFD" w:rsidRDefault="00000000">
            <w:pPr>
              <w:spacing w:line="360" w:lineRule="auto"/>
              <w:jc w:val="both"/>
              <w:rPr>
                <w:bCs/>
                <w:iCs/>
                <w:szCs w:val="24"/>
                <w:lang w:eastAsia="lt-LT"/>
              </w:rPr>
            </w:pPr>
            <w:r>
              <w:rPr>
                <w:szCs w:val="24"/>
              </w:rPr>
              <w:t>3.</w:t>
            </w:r>
            <w:r w:rsidR="002F6019">
              <w:rPr>
                <w:szCs w:val="24"/>
              </w:rPr>
              <w:t>2</w:t>
            </w:r>
            <w:r>
              <w:rPr>
                <w:szCs w:val="24"/>
              </w:rPr>
              <w:t>. Galimi pareiškėjai</w:t>
            </w:r>
            <w:r w:rsidR="002F6019">
              <w:rPr>
                <w:szCs w:val="24"/>
              </w:rPr>
              <w:t xml:space="preserve"> - </w:t>
            </w:r>
            <w:r>
              <w:rPr>
                <w:bCs/>
                <w:iCs/>
                <w:szCs w:val="24"/>
                <w:lang w:eastAsia="lt-LT"/>
              </w:rPr>
              <w:t>Lietuvos mokslinių tyrimų institutai, Lietuvos mokslo ir studijų institucijos, kiti Lietuvos Respublikoje įregistruoti viešieji juridiniai asmenys, kurių veikla susijusi su moksline veikla, moksliniais tyrimais ir eksperimentine plėtra, taikomaisiais moksliniais tyrimais (minėtos sąvokos apibrėžtos Lietuvos Respublikos mokslo ir studijų įstatyme</w:t>
            </w:r>
          </w:p>
          <w:p w14:paraId="5B883991" w14:textId="6BDA3B64" w:rsidR="00D50DFD" w:rsidRDefault="00000000">
            <w:pPr>
              <w:spacing w:line="360" w:lineRule="auto"/>
              <w:jc w:val="both"/>
              <w:rPr>
                <w:bCs/>
                <w:szCs w:val="24"/>
              </w:rPr>
            </w:pPr>
            <w:r>
              <w:rPr>
                <w:szCs w:val="24"/>
              </w:rPr>
              <w:t xml:space="preserve">3.4. </w:t>
            </w:r>
            <w:r>
              <w:rPr>
                <w:bCs/>
                <w:szCs w:val="24"/>
              </w:rPr>
              <w:t xml:space="preserve">Projekto veiklos gali būti vykdomos </w:t>
            </w:r>
            <w:r w:rsidR="002F6019">
              <w:rPr>
                <w:bCs/>
                <w:szCs w:val="24"/>
              </w:rPr>
              <w:t xml:space="preserve">laikotarpyje </w:t>
            </w:r>
            <w:r>
              <w:rPr>
                <w:bCs/>
                <w:szCs w:val="24"/>
              </w:rPr>
              <w:t>nuo 2023 m. sausio 1 d. iki 2029 m. gruodžio 31 d.</w:t>
            </w:r>
            <w:r w:rsidR="002F6019">
              <w:rPr>
                <w:bCs/>
                <w:szCs w:val="24"/>
              </w:rPr>
              <w:t xml:space="preserve"> Projekto trukmė iki 12 mėnesių.</w:t>
            </w:r>
          </w:p>
          <w:p w14:paraId="1415483E" w14:textId="77777777" w:rsidR="00D50DFD" w:rsidRDefault="00000000">
            <w:pPr>
              <w:spacing w:line="360" w:lineRule="auto"/>
              <w:jc w:val="both"/>
              <w:rPr>
                <w:bCs/>
                <w:szCs w:val="24"/>
              </w:rPr>
            </w:pPr>
            <w:r>
              <w:rPr>
                <w:bCs/>
                <w:szCs w:val="24"/>
              </w:rPr>
              <w:t>3.5. Siektini stebėsenos rodikliai:</w:t>
            </w:r>
          </w:p>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1"/>
              <w:gridCol w:w="1134"/>
              <w:gridCol w:w="1276"/>
              <w:gridCol w:w="2089"/>
            </w:tblGrid>
            <w:tr w:rsidR="00D50DFD" w14:paraId="111EFD5A" w14:textId="77777777">
              <w:trPr>
                <w:trHeight w:val="403"/>
              </w:trPr>
              <w:tc>
                <w:tcPr>
                  <w:tcW w:w="10081" w:type="dxa"/>
                  <w:shd w:val="clear" w:color="auto" w:fill="auto"/>
                </w:tcPr>
                <w:p w14:paraId="0F8140D4" w14:textId="77777777" w:rsidR="00D50DFD" w:rsidRDefault="00000000">
                  <w:pPr>
                    <w:rPr>
                      <w:b/>
                      <w:bCs/>
                      <w:szCs w:val="24"/>
                    </w:rPr>
                  </w:pPr>
                  <w:r>
                    <w:rPr>
                      <w:b/>
                      <w:bCs/>
                      <w:szCs w:val="24"/>
                    </w:rPr>
                    <w:t>Rodiklio pavadinimas  </w:t>
                  </w:r>
                </w:p>
              </w:tc>
              <w:tc>
                <w:tcPr>
                  <w:tcW w:w="1134" w:type="dxa"/>
                  <w:shd w:val="clear" w:color="auto" w:fill="auto"/>
                </w:tcPr>
                <w:p w14:paraId="6CA0B15F" w14:textId="77777777" w:rsidR="00D50DFD" w:rsidRDefault="00000000">
                  <w:pPr>
                    <w:rPr>
                      <w:b/>
                      <w:bCs/>
                      <w:szCs w:val="24"/>
                    </w:rPr>
                  </w:pPr>
                  <w:r>
                    <w:rPr>
                      <w:b/>
                      <w:bCs/>
                      <w:szCs w:val="24"/>
                    </w:rPr>
                    <w:t>Rodiklio kodas </w:t>
                  </w:r>
                </w:p>
              </w:tc>
              <w:tc>
                <w:tcPr>
                  <w:tcW w:w="1276" w:type="dxa"/>
                  <w:shd w:val="clear" w:color="auto" w:fill="auto"/>
                </w:tcPr>
                <w:p w14:paraId="6BC177BB" w14:textId="77777777" w:rsidR="00D50DFD" w:rsidRDefault="00000000">
                  <w:pPr>
                    <w:rPr>
                      <w:b/>
                      <w:bCs/>
                      <w:szCs w:val="24"/>
                    </w:rPr>
                  </w:pPr>
                  <w:r>
                    <w:rPr>
                      <w:b/>
                      <w:bCs/>
                      <w:szCs w:val="24"/>
                    </w:rPr>
                    <w:t>Matavimo vienetai </w:t>
                  </w:r>
                </w:p>
              </w:tc>
              <w:tc>
                <w:tcPr>
                  <w:tcW w:w="2089" w:type="dxa"/>
                  <w:shd w:val="clear" w:color="auto" w:fill="auto"/>
                </w:tcPr>
                <w:p w14:paraId="781B2243" w14:textId="77777777" w:rsidR="00D50DFD" w:rsidRDefault="00000000">
                  <w:pPr>
                    <w:rPr>
                      <w:b/>
                      <w:bCs/>
                      <w:szCs w:val="24"/>
                    </w:rPr>
                  </w:pPr>
                  <w:r>
                    <w:rPr>
                      <w:b/>
                      <w:bCs/>
                      <w:szCs w:val="24"/>
                    </w:rPr>
                    <w:t xml:space="preserve">Siektina reikšmė  </w:t>
                  </w:r>
                </w:p>
                <w:p w14:paraId="43FE62BE" w14:textId="77777777" w:rsidR="00D50DFD" w:rsidRDefault="00000000">
                  <w:pPr>
                    <w:rPr>
                      <w:b/>
                      <w:bCs/>
                      <w:szCs w:val="24"/>
                    </w:rPr>
                  </w:pPr>
                  <w:r>
                    <w:rPr>
                      <w:b/>
                      <w:bCs/>
                      <w:szCs w:val="24"/>
                    </w:rPr>
                    <w:t>(priemonės lygiu)</w:t>
                  </w:r>
                </w:p>
              </w:tc>
            </w:tr>
            <w:tr w:rsidR="00D50DFD" w14:paraId="2E4D72E9" w14:textId="77777777">
              <w:trPr>
                <w:trHeight w:val="403"/>
              </w:trPr>
              <w:tc>
                <w:tcPr>
                  <w:tcW w:w="10081" w:type="dxa"/>
                  <w:shd w:val="clear" w:color="auto" w:fill="auto"/>
                </w:tcPr>
                <w:p w14:paraId="6CEA0F81" w14:textId="77777777" w:rsidR="00D50DFD" w:rsidRDefault="00000000">
                  <w:pPr>
                    <w:jc w:val="center"/>
                    <w:rPr>
                      <w:bCs/>
                      <w:szCs w:val="24"/>
                    </w:rPr>
                  </w:pPr>
                  <w:r>
                    <w:rPr>
                      <w:bCs/>
                      <w:szCs w:val="24"/>
                    </w:rPr>
                    <w:t>1</w:t>
                  </w:r>
                </w:p>
              </w:tc>
              <w:tc>
                <w:tcPr>
                  <w:tcW w:w="1134" w:type="dxa"/>
                  <w:shd w:val="clear" w:color="auto" w:fill="auto"/>
                </w:tcPr>
                <w:p w14:paraId="6A61AF56" w14:textId="77777777" w:rsidR="00D50DFD" w:rsidRDefault="00000000">
                  <w:pPr>
                    <w:jc w:val="center"/>
                    <w:rPr>
                      <w:bCs/>
                      <w:szCs w:val="24"/>
                    </w:rPr>
                  </w:pPr>
                  <w:r>
                    <w:rPr>
                      <w:bCs/>
                      <w:szCs w:val="24"/>
                    </w:rPr>
                    <w:t>2</w:t>
                  </w:r>
                </w:p>
              </w:tc>
              <w:tc>
                <w:tcPr>
                  <w:tcW w:w="1276" w:type="dxa"/>
                  <w:shd w:val="clear" w:color="auto" w:fill="auto"/>
                </w:tcPr>
                <w:p w14:paraId="4090709A" w14:textId="77777777" w:rsidR="00D50DFD" w:rsidRDefault="00000000">
                  <w:pPr>
                    <w:jc w:val="center"/>
                    <w:rPr>
                      <w:bCs/>
                      <w:szCs w:val="24"/>
                    </w:rPr>
                  </w:pPr>
                  <w:r>
                    <w:rPr>
                      <w:bCs/>
                      <w:szCs w:val="24"/>
                    </w:rPr>
                    <w:t>3</w:t>
                  </w:r>
                </w:p>
              </w:tc>
              <w:tc>
                <w:tcPr>
                  <w:tcW w:w="2089" w:type="dxa"/>
                  <w:shd w:val="clear" w:color="auto" w:fill="auto"/>
                </w:tcPr>
                <w:p w14:paraId="003C8F2D" w14:textId="77777777" w:rsidR="00D50DFD" w:rsidRDefault="00000000">
                  <w:pPr>
                    <w:jc w:val="center"/>
                    <w:rPr>
                      <w:bCs/>
                      <w:szCs w:val="24"/>
                    </w:rPr>
                  </w:pPr>
                  <w:r>
                    <w:rPr>
                      <w:bCs/>
                      <w:szCs w:val="24"/>
                    </w:rPr>
                    <w:t>4</w:t>
                  </w:r>
                </w:p>
              </w:tc>
            </w:tr>
            <w:tr w:rsidR="00D50DFD" w14:paraId="3E12F394" w14:textId="77777777">
              <w:trPr>
                <w:trHeight w:val="318"/>
              </w:trPr>
              <w:tc>
                <w:tcPr>
                  <w:tcW w:w="10081" w:type="dxa"/>
                </w:tcPr>
                <w:p w14:paraId="6C3E2C03" w14:textId="77777777" w:rsidR="00D50DFD" w:rsidRDefault="00000000">
                  <w:pPr>
                    <w:rPr>
                      <w:szCs w:val="24"/>
                    </w:rPr>
                  </w:pPr>
                  <w:r>
                    <w:rPr>
                      <w:szCs w:val="24"/>
                    </w:rPr>
                    <w:t>3.5.1. Veiksmai, kuriais prisidedama prie geros aplinkos būklės, įskaitant gamtos atkūrimą, išsaugojimą, ekosistemų apsaugą, biologinę įvairovę, gyvūnų sveikatą ir gerovę (veiksmų skaičius)</w:t>
                  </w:r>
                </w:p>
              </w:tc>
              <w:tc>
                <w:tcPr>
                  <w:tcW w:w="1134" w:type="dxa"/>
                  <w:vAlign w:val="center"/>
                </w:tcPr>
                <w:p w14:paraId="282B4F60" w14:textId="77777777" w:rsidR="00D50DFD" w:rsidRDefault="00000000">
                  <w:pPr>
                    <w:jc w:val="center"/>
                    <w:rPr>
                      <w:szCs w:val="24"/>
                    </w:rPr>
                  </w:pPr>
                  <w:r>
                    <w:rPr>
                      <w:szCs w:val="24"/>
                    </w:rPr>
                    <w:t>CR 10</w:t>
                  </w:r>
                </w:p>
              </w:tc>
              <w:tc>
                <w:tcPr>
                  <w:tcW w:w="1276" w:type="dxa"/>
                  <w:vAlign w:val="center"/>
                </w:tcPr>
                <w:p w14:paraId="2090D917" w14:textId="77777777" w:rsidR="00D50DFD" w:rsidRDefault="00000000">
                  <w:pPr>
                    <w:jc w:val="center"/>
                    <w:rPr>
                      <w:szCs w:val="24"/>
                    </w:rPr>
                  </w:pPr>
                  <w:r>
                    <w:rPr>
                      <w:szCs w:val="24"/>
                    </w:rPr>
                    <w:t>Vnt.</w:t>
                  </w:r>
                </w:p>
              </w:tc>
              <w:tc>
                <w:tcPr>
                  <w:tcW w:w="2089" w:type="dxa"/>
                  <w:vAlign w:val="center"/>
                </w:tcPr>
                <w:p w14:paraId="6FE4F835" w14:textId="77777777" w:rsidR="00D50DFD" w:rsidRDefault="00000000">
                  <w:pPr>
                    <w:jc w:val="center"/>
                    <w:rPr>
                      <w:szCs w:val="24"/>
                    </w:rPr>
                  </w:pPr>
                  <w:r>
                    <w:rPr>
                      <w:szCs w:val="24"/>
                    </w:rPr>
                    <w:t>3</w:t>
                  </w:r>
                </w:p>
              </w:tc>
            </w:tr>
            <w:tr w:rsidR="00D50DFD" w14:paraId="40FCFCCA" w14:textId="77777777">
              <w:trPr>
                <w:trHeight w:val="318"/>
              </w:trPr>
              <w:tc>
                <w:tcPr>
                  <w:tcW w:w="10081" w:type="dxa"/>
                </w:tcPr>
                <w:p w14:paraId="78174503" w14:textId="362DE8CC" w:rsidR="00D50DFD" w:rsidRDefault="00000000">
                  <w:pPr>
                    <w:rPr>
                      <w:szCs w:val="24"/>
                    </w:rPr>
                  </w:pPr>
                  <w:r>
                    <w:rPr>
                      <w:szCs w:val="24"/>
                    </w:rPr>
                    <w:t xml:space="preserve">3.5.2. </w:t>
                  </w:r>
                  <w:r w:rsidR="009B7759" w:rsidRPr="009B7759">
                    <w:rPr>
                      <w:szCs w:val="24"/>
                    </w:rPr>
                    <w:t>Pateikti duomenų rinkiniai ir suteiktos konsultacijos (skaičius)</w:t>
                  </w:r>
                </w:p>
              </w:tc>
              <w:tc>
                <w:tcPr>
                  <w:tcW w:w="1134" w:type="dxa"/>
                  <w:vAlign w:val="center"/>
                </w:tcPr>
                <w:p w14:paraId="2FBF7289" w14:textId="13F9AB6C" w:rsidR="00D50DFD" w:rsidRDefault="00000000">
                  <w:pPr>
                    <w:jc w:val="center"/>
                    <w:rPr>
                      <w:szCs w:val="24"/>
                    </w:rPr>
                  </w:pPr>
                  <w:r>
                    <w:rPr>
                      <w:szCs w:val="24"/>
                    </w:rPr>
                    <w:t xml:space="preserve">CR </w:t>
                  </w:r>
                  <w:r w:rsidR="009B7759">
                    <w:rPr>
                      <w:szCs w:val="24"/>
                    </w:rPr>
                    <w:t>2</w:t>
                  </w:r>
                  <w:r>
                    <w:rPr>
                      <w:szCs w:val="24"/>
                    </w:rPr>
                    <w:t>1</w:t>
                  </w:r>
                </w:p>
              </w:tc>
              <w:tc>
                <w:tcPr>
                  <w:tcW w:w="1276" w:type="dxa"/>
                  <w:vAlign w:val="center"/>
                </w:tcPr>
                <w:p w14:paraId="5E99C1B7" w14:textId="77777777" w:rsidR="00D50DFD" w:rsidRDefault="00000000">
                  <w:pPr>
                    <w:jc w:val="center"/>
                    <w:rPr>
                      <w:szCs w:val="24"/>
                    </w:rPr>
                  </w:pPr>
                  <w:r>
                    <w:rPr>
                      <w:szCs w:val="24"/>
                    </w:rPr>
                    <w:t>Vnt.</w:t>
                  </w:r>
                </w:p>
              </w:tc>
              <w:tc>
                <w:tcPr>
                  <w:tcW w:w="2089" w:type="dxa"/>
                  <w:vAlign w:val="center"/>
                </w:tcPr>
                <w:p w14:paraId="4BA9826A" w14:textId="55FF8EB6" w:rsidR="00D50DFD" w:rsidRDefault="009B7759">
                  <w:pPr>
                    <w:jc w:val="center"/>
                    <w:rPr>
                      <w:szCs w:val="24"/>
                    </w:rPr>
                  </w:pPr>
                  <w:r>
                    <w:rPr>
                      <w:szCs w:val="24"/>
                    </w:rPr>
                    <w:t>1</w:t>
                  </w:r>
                </w:p>
              </w:tc>
            </w:tr>
          </w:tbl>
          <w:p w14:paraId="4DE4F438" w14:textId="77777777" w:rsidR="00D50DFD" w:rsidRDefault="00000000">
            <w:pPr>
              <w:spacing w:line="360" w:lineRule="auto"/>
              <w:jc w:val="both"/>
              <w:rPr>
                <w:bCs/>
                <w:szCs w:val="24"/>
              </w:rPr>
            </w:pPr>
            <w:r>
              <w:rPr>
                <w:bCs/>
                <w:szCs w:val="24"/>
              </w:rPr>
              <w:t>3.6. Pagal Aprašą įgyvendinami PĮP prisideda prie:</w:t>
            </w:r>
          </w:p>
          <w:p w14:paraId="6379F117" w14:textId="122AF29F" w:rsidR="00D50DFD" w:rsidRDefault="00000000">
            <w:pPr>
              <w:spacing w:line="360" w:lineRule="auto"/>
              <w:jc w:val="both"/>
              <w:rPr>
                <w:bCs/>
                <w:szCs w:val="24"/>
              </w:rPr>
            </w:pPr>
            <w:r>
              <w:rPr>
                <w:bCs/>
                <w:szCs w:val="24"/>
              </w:rPr>
              <w:lastRenderedPageBreak/>
              <w:t xml:space="preserve">3.6.1. 2022–2030 metų plėtros programos valdytojos Lietuvos Respublikos žemės ūkio ministerijos žemės ir maisto ūkio, kaimo plėtros bei žuvininkystės plėtros programos (toliau – plėtros programa)  pažangos priemonės NR. 15-001-06-02-04 „Pritaikyti aplinkos, klimato kaitos ir kitus valdymo įsipareigojimus bei inovatyvias, tausias technologijas jūrų reikalų ir žuvininkystės veikloje“ </w:t>
            </w:r>
            <w:r w:rsidR="00D408DE">
              <w:rPr>
                <w:bCs/>
                <w:szCs w:val="24"/>
              </w:rPr>
              <w:t>;</w:t>
            </w:r>
          </w:p>
          <w:p w14:paraId="5822FD02" w14:textId="77777777" w:rsidR="00D50DFD" w:rsidRDefault="00000000">
            <w:pPr>
              <w:spacing w:line="360" w:lineRule="auto"/>
              <w:jc w:val="both"/>
              <w:rPr>
                <w:bCs/>
                <w:szCs w:val="24"/>
              </w:rPr>
            </w:pPr>
            <w:r>
              <w:rPr>
                <w:bCs/>
                <w:szCs w:val="24"/>
              </w:rPr>
              <w:t>3.6.2. pažangos priemonės rezultato rodiklio „Vandenų ekosistemos apsaugos ir atkūrimo, įskaitant žvejybos pritaikymą, biologinės įvairovės apsaugos, įskaitant akvakultūros ūkiuose, veiksmų skaičius, vnt.“;</w:t>
            </w:r>
          </w:p>
          <w:p w14:paraId="51512704" w14:textId="77777777" w:rsidR="00D50DFD" w:rsidRDefault="00000000">
            <w:pPr>
              <w:spacing w:line="360" w:lineRule="auto"/>
              <w:jc w:val="both"/>
              <w:rPr>
                <w:bCs/>
                <w:szCs w:val="24"/>
              </w:rPr>
            </w:pPr>
            <w:r>
              <w:rPr>
                <w:bCs/>
                <w:szCs w:val="24"/>
              </w:rPr>
              <w:t xml:space="preserve">3.6.3. įgyvendinant plėtros programos pažangos priemonę įgyvendinamo 2021– 2030 metų nacionalinio pažangos plano uždavinio „Plėtoti tvarų ir bioekonomikos principais paremtą ūkininkavimą visose žemės ūkio šakose, tikslinga įgyvendinti kaip susijusius, nes jie priklauso tai pačiai veiklos sričiai ir vienas kitam sudaro prielaidas pokyčiams“. </w:t>
            </w:r>
          </w:p>
          <w:p w14:paraId="3152B6DF" w14:textId="5B2D5A3C" w:rsidR="00D50DFD" w:rsidRDefault="00D50DFD">
            <w:pPr>
              <w:spacing w:line="360" w:lineRule="auto"/>
              <w:jc w:val="both"/>
              <w:rPr>
                <w:bCs/>
                <w:szCs w:val="24"/>
              </w:rPr>
            </w:pPr>
          </w:p>
        </w:tc>
      </w:tr>
      <w:tr w:rsidR="00D50DFD" w14:paraId="0E0CAD93" w14:textId="77777777">
        <w:trPr>
          <w:trHeight w:val="70"/>
        </w:trPr>
        <w:tc>
          <w:tcPr>
            <w:tcW w:w="14709" w:type="dxa"/>
          </w:tcPr>
          <w:p w14:paraId="69BCE0E5" w14:textId="77777777" w:rsidR="00D50DFD" w:rsidRDefault="00D50DFD">
            <w:pPr>
              <w:rPr>
                <w:szCs w:val="24"/>
              </w:rPr>
            </w:pPr>
          </w:p>
        </w:tc>
      </w:tr>
      <w:tr w:rsidR="00D50DFD" w14:paraId="18174DC1" w14:textId="77777777">
        <w:trPr>
          <w:trHeight w:val="285"/>
        </w:trPr>
        <w:tc>
          <w:tcPr>
            <w:tcW w:w="14709" w:type="dxa"/>
          </w:tcPr>
          <w:p w14:paraId="176BA7F6" w14:textId="77777777" w:rsidR="00D50DFD" w:rsidRDefault="00000000">
            <w:pPr>
              <w:rPr>
                <w:szCs w:val="24"/>
              </w:rPr>
            </w:pPr>
            <w:r>
              <w:rPr>
                <w:b/>
                <w:szCs w:val="24"/>
              </w:rPr>
              <w:t>4. Horizontaliųjų principų (toliau – HP) ir su jais susijusių Europos Sąjungos pagrindinių teisių chartijos (toliau – Chartija) nuostatų laikymosi reikalavimai</w:t>
            </w:r>
          </w:p>
        </w:tc>
      </w:tr>
      <w:tr w:rsidR="00D50DFD" w14:paraId="7B89233A" w14:textId="77777777">
        <w:tc>
          <w:tcPr>
            <w:tcW w:w="14709" w:type="dxa"/>
          </w:tcPr>
          <w:p w14:paraId="510EA03B" w14:textId="77777777" w:rsidR="00D50DFD" w:rsidRDefault="00000000">
            <w:pPr>
              <w:spacing w:line="360" w:lineRule="auto"/>
              <w:jc w:val="both"/>
              <w:rPr>
                <w:szCs w:val="24"/>
              </w:rPr>
            </w:pPr>
            <w:r>
              <w:rPr>
                <w:szCs w:val="24"/>
              </w:rPr>
              <w:t xml:space="preserve">4.1. Priemonės įgyvendinimas nedaro tiesioginio poveikio Chartijos nuostatoms. Projekto įgyvendinimo metu neturi būti pažeidžiamos Chartijoje nustatytų pagrindinių teisių nuostatos: orumo; asmenų, privataus ir šeimos gyvenimo, sąžinės ir saviraiškos laisvės; asmens duomenų;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p w14:paraId="3925DD56" w14:textId="77777777" w:rsidR="00D50DFD" w:rsidRDefault="00000000">
            <w:pPr>
              <w:spacing w:line="360" w:lineRule="auto"/>
              <w:jc w:val="both"/>
              <w:rPr>
                <w:szCs w:val="24"/>
              </w:rPr>
            </w:pPr>
            <w:r>
              <w:rPr>
                <w:szCs w:val="24"/>
              </w:rPr>
              <w:t xml:space="preserve">4.2. Projekto įgyvendinimo metu neturi būti pažeidžiami HP: </w:t>
            </w:r>
            <w:r>
              <w:rPr>
                <w:b/>
                <w:bCs/>
                <w:szCs w:val="24"/>
              </w:rPr>
              <w:t>darnaus vystymosi</w:t>
            </w:r>
            <w:r>
              <w:rPr>
                <w:szCs w:val="24"/>
              </w:rPr>
              <w:t xml:space="preserve">, įskaitant reikšmingos žalos nedarymo principą, </w:t>
            </w:r>
            <w:r>
              <w:rPr>
                <w:b/>
                <w:bCs/>
                <w:szCs w:val="24"/>
              </w:rPr>
              <w:t>lygių galimybių ir nediskriminavimo</w:t>
            </w:r>
            <w:r>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w:t>
            </w:r>
          </w:p>
          <w:p w14:paraId="7CA90747" w14:textId="77777777" w:rsidR="00D50DFD" w:rsidRDefault="00000000">
            <w:pPr>
              <w:spacing w:line="360" w:lineRule="auto"/>
              <w:jc w:val="both"/>
              <w:rPr>
                <w:szCs w:val="24"/>
              </w:rPr>
            </w:pPr>
            <w:r>
              <w:rPr>
                <w:szCs w:val="24"/>
              </w:rPr>
              <w:t xml:space="preserve">4.3. Pagal aprašą įgyvendinamu projektu tiesiogiai (projekto tikslas, tikslinė grupė, projekto veiklos, projekto vykdytojai, rodikliai, siekiami rezultatai) neprisidedama prie HP įgyvendinimo. </w:t>
            </w:r>
          </w:p>
        </w:tc>
      </w:tr>
      <w:tr w:rsidR="00D50DFD" w14:paraId="06548513" w14:textId="77777777">
        <w:tc>
          <w:tcPr>
            <w:tcW w:w="14709" w:type="dxa"/>
          </w:tcPr>
          <w:p w14:paraId="571972C3" w14:textId="77777777" w:rsidR="00D50DFD" w:rsidRDefault="00000000">
            <w:pPr>
              <w:jc w:val="both"/>
              <w:rPr>
                <w:b/>
                <w:szCs w:val="24"/>
              </w:rPr>
            </w:pPr>
            <w:r>
              <w:rPr>
                <w:b/>
                <w:szCs w:val="24"/>
              </w:rPr>
              <w:t>5. Reikalavimai teikiant valstybės pagalbą arba nereikšmingą (</w:t>
            </w:r>
            <w:r>
              <w:rPr>
                <w:b/>
                <w:i/>
                <w:iCs/>
                <w:szCs w:val="24"/>
              </w:rPr>
              <w:t>de minimis</w:t>
            </w:r>
            <w:r>
              <w:rPr>
                <w:b/>
                <w:szCs w:val="24"/>
              </w:rPr>
              <w:t xml:space="preserve">) pagalbą </w:t>
            </w:r>
          </w:p>
        </w:tc>
      </w:tr>
      <w:tr w:rsidR="00D50DFD" w14:paraId="58D73B3E" w14:textId="77777777">
        <w:tc>
          <w:tcPr>
            <w:tcW w:w="14709" w:type="dxa"/>
          </w:tcPr>
          <w:p w14:paraId="7381E265" w14:textId="77777777" w:rsidR="00D50DFD" w:rsidRDefault="00000000">
            <w:pPr>
              <w:jc w:val="both"/>
              <w:rPr>
                <w:i/>
                <w:iCs/>
                <w:szCs w:val="24"/>
              </w:rPr>
            </w:pPr>
            <w:r>
              <w:rPr>
                <w:szCs w:val="24"/>
              </w:rPr>
              <w:t>5.1. Valstybės pagalba, kaip ji apibrėžta Sutarties dėl Europos Sąjungos veikimo 107 straipsnyje, neteikiama.</w:t>
            </w:r>
          </w:p>
        </w:tc>
      </w:tr>
      <w:tr w:rsidR="00D50DFD" w14:paraId="6C9933F3" w14:textId="77777777">
        <w:tc>
          <w:tcPr>
            <w:tcW w:w="14709" w:type="dxa"/>
          </w:tcPr>
          <w:p w14:paraId="5408B1C8" w14:textId="77777777" w:rsidR="00D50DFD" w:rsidRDefault="00000000">
            <w:pPr>
              <w:ind w:left="426" w:hanging="426"/>
              <w:jc w:val="both"/>
              <w:rPr>
                <w:i/>
                <w:szCs w:val="24"/>
              </w:rPr>
            </w:pPr>
            <w:r>
              <w:rPr>
                <w:b/>
                <w:szCs w:val="24"/>
              </w:rPr>
              <w:lastRenderedPageBreak/>
              <w:t>6. Projektų atrankos kriterijai</w:t>
            </w:r>
          </w:p>
        </w:tc>
      </w:tr>
      <w:tr w:rsidR="00D50DFD" w14:paraId="27F4AF18" w14:textId="77777777">
        <w:trPr>
          <w:trHeight w:val="451"/>
        </w:trPr>
        <w:tc>
          <w:tcPr>
            <w:tcW w:w="14709" w:type="dxa"/>
          </w:tcPr>
          <w:tbl>
            <w:tblPr>
              <w:tblW w:w="14545" w:type="dxa"/>
              <w:tblLayout w:type="fixed"/>
              <w:tblLook w:val="00A0" w:firstRow="1" w:lastRow="0" w:firstColumn="1" w:lastColumn="0" w:noHBand="0" w:noVBand="0"/>
            </w:tblPr>
            <w:tblGrid>
              <w:gridCol w:w="723"/>
              <w:gridCol w:w="2410"/>
              <w:gridCol w:w="3118"/>
              <w:gridCol w:w="8294"/>
            </w:tblGrid>
            <w:tr w:rsidR="00D50DFD" w14:paraId="091B0D30" w14:textId="77777777">
              <w:trPr>
                <w:trHeight w:val="178"/>
              </w:trPr>
              <w:tc>
                <w:tcPr>
                  <w:tcW w:w="723"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6AD981" w14:textId="77777777" w:rsidR="00D50DFD" w:rsidRDefault="00000000">
                  <w:pPr>
                    <w:jc w:val="center"/>
                    <w:rPr>
                      <w:b/>
                      <w:bCs/>
                      <w:szCs w:val="24"/>
                    </w:rPr>
                  </w:pPr>
                  <w:r>
                    <w:rPr>
                      <w:b/>
                      <w:bCs/>
                      <w:szCs w:val="24"/>
                    </w:rPr>
                    <w:t>Eil.</w:t>
                  </w:r>
                </w:p>
                <w:p w14:paraId="3A26F6D1" w14:textId="77777777" w:rsidR="00D50DFD" w:rsidRDefault="00000000">
                  <w:pPr>
                    <w:jc w:val="center"/>
                    <w:rPr>
                      <w:b/>
                      <w:bCs/>
                      <w:szCs w:val="24"/>
                    </w:rPr>
                  </w:pPr>
                  <w:r>
                    <w:rPr>
                      <w:b/>
                      <w:bCs/>
                      <w:szCs w:val="24"/>
                    </w:rPr>
                    <w:t>Nr.</w:t>
                  </w:r>
                </w:p>
              </w:tc>
              <w:tc>
                <w:tcPr>
                  <w:tcW w:w="2410"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3D7784F" w14:textId="77777777" w:rsidR="00D50DFD" w:rsidRDefault="00000000">
                  <w:pPr>
                    <w:jc w:val="center"/>
                    <w:rPr>
                      <w:b/>
                      <w:bCs/>
                      <w:szCs w:val="24"/>
                    </w:rPr>
                  </w:pPr>
                  <w:r>
                    <w:rPr>
                      <w:b/>
                      <w:bCs/>
                      <w:szCs w:val="24"/>
                    </w:rPr>
                    <w:t>Kriterijaus tipas</w:t>
                  </w:r>
                </w:p>
              </w:tc>
              <w:tc>
                <w:tcPr>
                  <w:tcW w:w="3118"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C2F3401" w14:textId="77777777" w:rsidR="00D50DFD" w:rsidRDefault="00000000">
                  <w:pPr>
                    <w:jc w:val="center"/>
                    <w:rPr>
                      <w:b/>
                      <w:bCs/>
                      <w:szCs w:val="24"/>
                    </w:rPr>
                  </w:pPr>
                  <w:r>
                    <w:rPr>
                      <w:b/>
                      <w:bCs/>
                      <w:szCs w:val="24"/>
                    </w:rPr>
                    <w:t>Kriterijus</w:t>
                  </w:r>
                </w:p>
              </w:tc>
              <w:tc>
                <w:tcPr>
                  <w:tcW w:w="8294"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9EB0B3E" w14:textId="77777777" w:rsidR="00D50DFD" w:rsidRDefault="00000000">
                  <w:pPr>
                    <w:jc w:val="center"/>
                    <w:rPr>
                      <w:b/>
                      <w:bCs/>
                      <w:szCs w:val="24"/>
                    </w:rPr>
                  </w:pPr>
                  <w:r>
                    <w:rPr>
                      <w:b/>
                      <w:bCs/>
                      <w:szCs w:val="24"/>
                    </w:rPr>
                    <w:t>Kriterijaus vertinimo metodas</w:t>
                  </w:r>
                </w:p>
              </w:tc>
            </w:tr>
            <w:tr w:rsidR="00D50DFD" w14:paraId="17B30BB0" w14:textId="77777777">
              <w:trPr>
                <w:trHeight w:val="178"/>
              </w:trPr>
              <w:tc>
                <w:tcPr>
                  <w:tcW w:w="72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D59EBC" w14:textId="77777777" w:rsidR="00D50DFD" w:rsidRDefault="00000000">
                  <w:pPr>
                    <w:jc w:val="center"/>
                    <w:rPr>
                      <w:bCs/>
                      <w:szCs w:val="24"/>
                    </w:rPr>
                  </w:pPr>
                  <w:r>
                    <w:rPr>
                      <w:bCs/>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378A42" w14:textId="77777777" w:rsidR="00D50DFD" w:rsidRDefault="00000000">
                  <w:pPr>
                    <w:jc w:val="center"/>
                    <w:rPr>
                      <w:bCs/>
                      <w:szCs w:val="24"/>
                    </w:rPr>
                  </w:pPr>
                  <w:r>
                    <w:rPr>
                      <w:bCs/>
                      <w:szCs w:val="24"/>
                    </w:rPr>
                    <w:t>2</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FD878" w14:textId="77777777" w:rsidR="00D50DFD" w:rsidRDefault="00000000">
                  <w:pPr>
                    <w:jc w:val="center"/>
                    <w:rPr>
                      <w:bCs/>
                      <w:szCs w:val="24"/>
                    </w:rPr>
                  </w:pPr>
                  <w:r>
                    <w:rPr>
                      <w:bCs/>
                      <w:szCs w:val="24"/>
                    </w:rPr>
                    <w:t>3</w:t>
                  </w:r>
                </w:p>
              </w:tc>
              <w:tc>
                <w:tcPr>
                  <w:tcW w:w="82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07346" w14:textId="77777777" w:rsidR="00D50DFD" w:rsidRDefault="00000000">
                  <w:pPr>
                    <w:jc w:val="center"/>
                    <w:rPr>
                      <w:bCs/>
                      <w:szCs w:val="24"/>
                    </w:rPr>
                  </w:pPr>
                  <w:r>
                    <w:rPr>
                      <w:bCs/>
                      <w:szCs w:val="24"/>
                    </w:rPr>
                    <w:t>4</w:t>
                  </w:r>
                </w:p>
              </w:tc>
            </w:tr>
            <w:tr w:rsidR="00D50DFD" w14:paraId="4914AD2A" w14:textId="77777777">
              <w:trPr>
                <w:trHeight w:val="178"/>
              </w:trPr>
              <w:tc>
                <w:tcPr>
                  <w:tcW w:w="1454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AD42ED0" w14:textId="77777777" w:rsidR="00D50DFD" w:rsidRDefault="00000000">
                  <w:pPr>
                    <w:rPr>
                      <w:bCs/>
                      <w:szCs w:val="24"/>
                    </w:rPr>
                  </w:pPr>
                  <w:r>
                    <w:rPr>
                      <w:b/>
                      <w:bCs/>
                      <w:sz w:val="22"/>
                      <w:szCs w:val="22"/>
                    </w:rPr>
                    <w:t>Specialieji  projektų atrankos kriterijai:</w:t>
                  </w:r>
                </w:p>
              </w:tc>
            </w:tr>
            <w:tr w:rsidR="00D50DFD" w14:paraId="0A498625" w14:textId="77777777">
              <w:trPr>
                <w:trHeight w:val="351"/>
              </w:trPr>
              <w:tc>
                <w:tcPr>
                  <w:tcW w:w="723" w:type="dxa"/>
                  <w:tcBorders>
                    <w:top w:val="single" w:sz="6" w:space="0" w:color="000000"/>
                    <w:left w:val="single" w:sz="6" w:space="0" w:color="000000"/>
                    <w:bottom w:val="single" w:sz="6" w:space="0" w:color="000000"/>
                    <w:right w:val="single" w:sz="6" w:space="0" w:color="000000"/>
                  </w:tcBorders>
                  <w:vAlign w:val="center"/>
                  <w:hideMark/>
                </w:tcPr>
                <w:p w14:paraId="394408AA" w14:textId="77777777" w:rsidR="00D50DFD" w:rsidRDefault="00000000">
                  <w:pPr>
                    <w:jc w:val="center"/>
                    <w:rPr>
                      <w:szCs w:val="24"/>
                    </w:rPr>
                  </w:pPr>
                  <w:r>
                    <w:rPr>
                      <w:szCs w:val="24"/>
                    </w:rPr>
                    <w:t>6.1.</w:t>
                  </w:r>
                </w:p>
              </w:tc>
              <w:tc>
                <w:tcPr>
                  <w:tcW w:w="2410" w:type="dxa"/>
                  <w:tcBorders>
                    <w:top w:val="single" w:sz="6" w:space="0" w:color="000000"/>
                    <w:left w:val="single" w:sz="6" w:space="0" w:color="000000"/>
                    <w:bottom w:val="single" w:sz="6" w:space="0" w:color="000000"/>
                    <w:right w:val="single" w:sz="6" w:space="0" w:color="000000"/>
                  </w:tcBorders>
                </w:tcPr>
                <w:p w14:paraId="020D2486" w14:textId="77777777" w:rsidR="00D50DFD" w:rsidRDefault="00000000">
                  <w:pPr>
                    <w:jc w:val="both"/>
                    <w:rPr>
                      <w:szCs w:val="24"/>
                    </w:rPr>
                  </w:pPr>
                  <w:r>
                    <w:rPr>
                      <w:szCs w:val="24"/>
                    </w:rPr>
                    <w:t>Specialusis projektų atrankos kriterijus</w:t>
                  </w:r>
                </w:p>
              </w:tc>
              <w:tc>
                <w:tcPr>
                  <w:tcW w:w="3118" w:type="dxa"/>
                  <w:tcBorders>
                    <w:top w:val="single" w:sz="6" w:space="0" w:color="000000"/>
                    <w:left w:val="single" w:sz="6" w:space="0" w:color="000000"/>
                    <w:bottom w:val="single" w:sz="6" w:space="0" w:color="000000"/>
                    <w:right w:val="single" w:sz="6" w:space="0" w:color="000000"/>
                  </w:tcBorders>
                </w:tcPr>
                <w:p w14:paraId="4D3ED616" w14:textId="31BAB24A" w:rsidR="00D50DFD" w:rsidRDefault="00775C72">
                  <w:pPr>
                    <w:jc w:val="both"/>
                    <w:rPr>
                      <w:szCs w:val="24"/>
                    </w:rPr>
                  </w:pPr>
                  <w:r w:rsidRPr="00775C72">
                    <w:rPr>
                      <w:bCs/>
                      <w:iCs/>
                      <w:szCs w:val="24"/>
                      <w:lang w:eastAsia="lt-LT"/>
                    </w:rPr>
                    <w:t>Projektą įgyvendina Lietuvos mokslo įstaiga (Lietuvos mokslinių tyrimų institutai, Lietuvos mokslo ir studijų institucijos, kiti Lietuvos Respublikoje įregistruoti viešieji juridiniai asmenys, kurių veikla susijusi su moksline veikla, moksliniais tyrimais ir eksperimentine plėtra, taikomaisiais moksliniais tyrimais)</w:t>
                  </w:r>
                </w:p>
              </w:tc>
              <w:tc>
                <w:tcPr>
                  <w:tcW w:w="8294" w:type="dxa"/>
                  <w:tcBorders>
                    <w:top w:val="single" w:sz="6" w:space="0" w:color="000000"/>
                    <w:left w:val="single" w:sz="6" w:space="0" w:color="000000"/>
                    <w:bottom w:val="single" w:sz="6" w:space="0" w:color="000000"/>
                    <w:right w:val="single" w:sz="6" w:space="0" w:color="000000"/>
                  </w:tcBorders>
                </w:tcPr>
                <w:p w14:paraId="7EA7E6AD" w14:textId="0FA24BBB" w:rsidR="00D50DFD" w:rsidRDefault="00775C72">
                  <w:pPr>
                    <w:jc w:val="both"/>
                    <w:rPr>
                      <w:szCs w:val="24"/>
                    </w:rPr>
                  </w:pPr>
                  <w:r w:rsidRPr="00775C72">
                    <w:rPr>
                      <w:szCs w:val="24"/>
                    </w:rPr>
                    <w:t>Atitiktis reikalavimui nustatoma remiantis Lietuvos Respublikos mokslo ir studijų įstatyme apibrėžtomis sąvokomis</w:t>
                  </w:r>
                </w:p>
              </w:tc>
            </w:tr>
            <w:tr w:rsidR="00D50DFD" w14:paraId="5DE15172" w14:textId="77777777">
              <w:trPr>
                <w:trHeight w:val="351"/>
              </w:trPr>
              <w:tc>
                <w:tcPr>
                  <w:tcW w:w="14545" w:type="dxa"/>
                  <w:gridSpan w:val="4"/>
                  <w:tcBorders>
                    <w:top w:val="single" w:sz="6" w:space="0" w:color="000000"/>
                    <w:left w:val="single" w:sz="6" w:space="0" w:color="000000"/>
                    <w:bottom w:val="single" w:sz="6" w:space="0" w:color="000000"/>
                    <w:right w:val="single" w:sz="6" w:space="0" w:color="000000"/>
                  </w:tcBorders>
                  <w:vAlign w:val="center"/>
                </w:tcPr>
                <w:p w14:paraId="0967602D" w14:textId="77777777" w:rsidR="00D50DFD" w:rsidRDefault="00000000">
                  <w:pPr>
                    <w:jc w:val="both"/>
                    <w:rPr>
                      <w:bCs/>
                      <w:iCs/>
                      <w:szCs w:val="24"/>
                      <w:lang w:eastAsia="lt-LT"/>
                    </w:rPr>
                  </w:pPr>
                  <w:r>
                    <w:rPr>
                      <w:b/>
                      <w:bCs/>
                      <w:sz w:val="22"/>
                      <w:szCs w:val="22"/>
                    </w:rPr>
                    <w:t>Prioritetiniai projektų atrankos kriterijai:</w:t>
                  </w:r>
                </w:p>
              </w:tc>
            </w:tr>
            <w:tr w:rsidR="00D50DFD" w14:paraId="0BECBCB5" w14:textId="77777777">
              <w:trPr>
                <w:trHeight w:val="351"/>
              </w:trPr>
              <w:tc>
                <w:tcPr>
                  <w:tcW w:w="723" w:type="dxa"/>
                  <w:tcBorders>
                    <w:top w:val="single" w:sz="6" w:space="0" w:color="000000"/>
                    <w:left w:val="single" w:sz="6" w:space="0" w:color="000000"/>
                    <w:bottom w:val="single" w:sz="6" w:space="0" w:color="000000"/>
                    <w:right w:val="single" w:sz="6" w:space="0" w:color="000000"/>
                  </w:tcBorders>
                  <w:vAlign w:val="center"/>
                </w:tcPr>
                <w:p w14:paraId="27FE7DF9" w14:textId="0EDA8CAE" w:rsidR="00D50DFD" w:rsidRDefault="00000000">
                  <w:pPr>
                    <w:jc w:val="center"/>
                    <w:rPr>
                      <w:szCs w:val="24"/>
                    </w:rPr>
                  </w:pPr>
                  <w:r>
                    <w:rPr>
                      <w:szCs w:val="24"/>
                    </w:rPr>
                    <w:t>6.</w:t>
                  </w:r>
                  <w:r w:rsidR="00775C72">
                    <w:rPr>
                      <w:szCs w:val="24"/>
                    </w:rPr>
                    <w:t>2</w:t>
                  </w:r>
                  <w:r>
                    <w:rPr>
                      <w:szCs w:val="24"/>
                    </w:rPr>
                    <w:t>.</w:t>
                  </w:r>
                </w:p>
              </w:tc>
              <w:tc>
                <w:tcPr>
                  <w:tcW w:w="2410" w:type="dxa"/>
                  <w:tcBorders>
                    <w:top w:val="single" w:sz="6" w:space="0" w:color="000000"/>
                    <w:left w:val="single" w:sz="6" w:space="0" w:color="000000"/>
                    <w:bottom w:val="single" w:sz="6" w:space="0" w:color="000000"/>
                    <w:right w:val="single" w:sz="6" w:space="0" w:color="000000"/>
                  </w:tcBorders>
                </w:tcPr>
                <w:p w14:paraId="69338116" w14:textId="77777777" w:rsidR="00D50DFD" w:rsidRDefault="00000000">
                  <w:pPr>
                    <w:jc w:val="both"/>
                    <w:rPr>
                      <w:szCs w:val="24"/>
                    </w:rPr>
                  </w:pPr>
                  <w:r>
                    <w:rPr>
                      <w:szCs w:val="24"/>
                    </w:rPr>
                    <w:t>Prioritetinis projektų atrankos kriterijus</w:t>
                  </w:r>
                </w:p>
              </w:tc>
              <w:tc>
                <w:tcPr>
                  <w:tcW w:w="3118" w:type="dxa"/>
                  <w:tcBorders>
                    <w:top w:val="single" w:sz="6" w:space="0" w:color="000000"/>
                    <w:left w:val="single" w:sz="6" w:space="0" w:color="000000"/>
                    <w:bottom w:val="single" w:sz="6" w:space="0" w:color="000000"/>
                    <w:right w:val="single" w:sz="6" w:space="0" w:color="000000"/>
                  </w:tcBorders>
                </w:tcPr>
                <w:p w14:paraId="77EC1BB4" w14:textId="342CE23A" w:rsidR="00D50DFD" w:rsidRDefault="00775C72">
                  <w:pPr>
                    <w:jc w:val="both"/>
                    <w:rPr>
                      <w:szCs w:val="24"/>
                    </w:rPr>
                  </w:pPr>
                  <w:r w:rsidRPr="00775C72">
                    <w:rPr>
                      <w:rFonts w:eastAsia="Calibri"/>
                      <w:szCs w:val="24"/>
                      <w:lang w:eastAsia="lt-LT"/>
                    </w:rPr>
                    <w:t>Projekto kokybė.</w:t>
                  </w:r>
                  <w:r>
                    <w:rPr>
                      <w:rFonts w:eastAsia="Calibri"/>
                      <w:szCs w:val="24"/>
                      <w:lang w:eastAsia="lt-LT"/>
                    </w:rPr>
                    <w:t xml:space="preserve"> </w:t>
                  </w:r>
                  <w:r w:rsidRPr="00775C72">
                    <w:rPr>
                      <w:rFonts w:eastAsia="Calibri"/>
                      <w:szCs w:val="24"/>
                      <w:lang w:eastAsia="lt-LT"/>
                    </w:rPr>
                    <w:t>Ar kokybiškas ir nuoseklus projekto įgyvendinimo darbo planas, leidžiantis įgyvendinti esminį tikslą? Ar veiksmai atitinka tikslus? Ar veiksmai yra įmanomi, aktualūs ir realūs per planuojamą projekto laikotarpį? Ar planuojamos projekto išlaidos yra aiškios ir realios?</w:t>
                  </w:r>
                </w:p>
              </w:tc>
              <w:tc>
                <w:tcPr>
                  <w:tcW w:w="8294" w:type="dxa"/>
                  <w:tcBorders>
                    <w:top w:val="single" w:sz="6" w:space="0" w:color="000000"/>
                    <w:left w:val="single" w:sz="6" w:space="0" w:color="000000"/>
                    <w:bottom w:val="single" w:sz="6" w:space="0" w:color="000000"/>
                    <w:right w:val="single" w:sz="6" w:space="0" w:color="000000"/>
                  </w:tcBorders>
                </w:tcPr>
                <w:p w14:paraId="6920B471" w14:textId="2271E4F9" w:rsidR="00775C72" w:rsidRPr="00775C72" w:rsidRDefault="00775C72" w:rsidP="00775C72">
                  <w:pPr>
                    <w:widowControl w:val="0"/>
                    <w:jc w:val="both"/>
                    <w:textAlignment w:val="baseline"/>
                    <w:rPr>
                      <w:bCs/>
                      <w:iCs/>
                      <w:szCs w:val="24"/>
                      <w:lang w:eastAsia="lt-LT"/>
                    </w:rPr>
                  </w:pPr>
                  <w:r>
                    <w:rPr>
                      <w:bCs/>
                      <w:iCs/>
                      <w:szCs w:val="24"/>
                      <w:lang w:eastAsia="lt-LT"/>
                    </w:rPr>
                    <w:t xml:space="preserve">6.2.1. </w:t>
                  </w:r>
                  <w:r w:rsidRPr="00775C72">
                    <w:rPr>
                      <w:bCs/>
                      <w:iCs/>
                      <w:szCs w:val="24"/>
                      <w:lang w:eastAsia="lt-LT"/>
                    </w:rPr>
                    <w:t>Projekto įgyvendinimo darbo plano kokybė yra nepakankama, o veiksmai neįmanomi įgyvendinti, nėra aktualūs ir realūs per planuojamą projekto laikotarpį – 0 balų;</w:t>
                  </w:r>
                </w:p>
                <w:p w14:paraId="26B7349C" w14:textId="43CB402B" w:rsidR="00775C72" w:rsidRPr="00775C72" w:rsidRDefault="00775C72" w:rsidP="00775C72">
                  <w:pPr>
                    <w:widowControl w:val="0"/>
                    <w:jc w:val="both"/>
                    <w:textAlignment w:val="baseline"/>
                    <w:rPr>
                      <w:bCs/>
                      <w:iCs/>
                      <w:szCs w:val="24"/>
                      <w:lang w:eastAsia="lt-LT"/>
                    </w:rPr>
                  </w:pPr>
                  <w:r>
                    <w:rPr>
                      <w:bCs/>
                      <w:iCs/>
                      <w:szCs w:val="24"/>
                      <w:lang w:eastAsia="lt-LT"/>
                    </w:rPr>
                    <w:t xml:space="preserve">6.2.2. </w:t>
                  </w:r>
                  <w:r w:rsidRPr="00775C72">
                    <w:rPr>
                      <w:bCs/>
                      <w:iCs/>
                      <w:szCs w:val="24"/>
                      <w:lang w:eastAsia="lt-LT"/>
                    </w:rPr>
                    <w:t>Projekto įgyvendinimo darbo plano kokybę galima pagerinti. Veiksmai yra tik ribotai įgyvendinami, aktualūs ir realūs, o planuojamos projekto išlaidos nėra aiškios arba realios – 10 balų;</w:t>
                  </w:r>
                </w:p>
                <w:p w14:paraId="5D6A0B2E" w14:textId="69835280" w:rsidR="00775C72" w:rsidRPr="00775C72" w:rsidRDefault="00775C72" w:rsidP="00775C72">
                  <w:pPr>
                    <w:widowControl w:val="0"/>
                    <w:jc w:val="both"/>
                    <w:textAlignment w:val="baseline"/>
                    <w:rPr>
                      <w:bCs/>
                      <w:iCs/>
                      <w:szCs w:val="24"/>
                      <w:lang w:eastAsia="lt-LT"/>
                    </w:rPr>
                  </w:pPr>
                  <w:r>
                    <w:rPr>
                      <w:bCs/>
                      <w:iCs/>
                      <w:szCs w:val="24"/>
                      <w:lang w:eastAsia="lt-LT"/>
                    </w:rPr>
                    <w:t xml:space="preserve">6.2.3. </w:t>
                  </w:r>
                  <w:r w:rsidRPr="00775C72">
                    <w:rPr>
                      <w:bCs/>
                      <w:iCs/>
                      <w:szCs w:val="24"/>
                      <w:lang w:eastAsia="lt-LT"/>
                    </w:rPr>
                    <w:t>Projekto įgyvendinimo darbo planas yra gerai parengtas (gali būti reikalingi tik nedideli pataisymai), o veiksmai yra įmanomi, aktualūs ir realūs. Planuojamos projekto išlaidos yra realios, bet ne visada išsamiai pagrįstos ir aiškiai atitinka projekto įgyvendinimo darbo planą ir veiksmus – 30 balų;</w:t>
                  </w:r>
                </w:p>
                <w:p w14:paraId="211DB670" w14:textId="3D962139" w:rsidR="00D50DFD" w:rsidRDefault="00775C72" w:rsidP="00775C72">
                  <w:pPr>
                    <w:widowControl w:val="0"/>
                    <w:jc w:val="both"/>
                    <w:textAlignment w:val="baseline"/>
                    <w:rPr>
                      <w:szCs w:val="24"/>
                    </w:rPr>
                  </w:pPr>
                  <w:r>
                    <w:rPr>
                      <w:bCs/>
                      <w:iCs/>
                      <w:szCs w:val="24"/>
                      <w:lang w:eastAsia="lt-LT"/>
                    </w:rPr>
                    <w:t xml:space="preserve">6.2.4. </w:t>
                  </w:r>
                  <w:r w:rsidRPr="00775C72">
                    <w:rPr>
                      <w:bCs/>
                      <w:iCs/>
                      <w:szCs w:val="24"/>
                      <w:lang w:eastAsia="lt-LT"/>
                    </w:rPr>
                    <w:t>Projekto įgyvendinimo darbo planas yra gerai parengtas, o veiksmai yra įmanomi įgyvendinti, aktualūs ir realūs. Planuojamos projekto išlaidos yra realios, aiškiai atitinka projekto įgyvendinimo darbo planą ir veiksmus, gerai pagrįstos – 40 balų</w:t>
                  </w:r>
                  <w:r>
                    <w:rPr>
                      <w:bCs/>
                      <w:iCs/>
                      <w:szCs w:val="24"/>
                      <w:lang w:eastAsia="lt-LT"/>
                    </w:rPr>
                    <w:t xml:space="preserve">. </w:t>
                  </w:r>
                </w:p>
              </w:tc>
            </w:tr>
            <w:tr w:rsidR="00D50DFD" w14:paraId="04044C4E" w14:textId="77777777">
              <w:trPr>
                <w:trHeight w:val="351"/>
              </w:trPr>
              <w:tc>
                <w:tcPr>
                  <w:tcW w:w="723" w:type="dxa"/>
                  <w:tcBorders>
                    <w:top w:val="single" w:sz="6" w:space="0" w:color="000000"/>
                    <w:left w:val="single" w:sz="6" w:space="0" w:color="000000"/>
                    <w:bottom w:val="single" w:sz="6" w:space="0" w:color="000000"/>
                    <w:right w:val="single" w:sz="6" w:space="0" w:color="000000"/>
                  </w:tcBorders>
                  <w:vAlign w:val="center"/>
                </w:tcPr>
                <w:p w14:paraId="14103350" w14:textId="6D301E39" w:rsidR="00D50DFD" w:rsidRDefault="00000000">
                  <w:pPr>
                    <w:jc w:val="center"/>
                    <w:rPr>
                      <w:szCs w:val="24"/>
                    </w:rPr>
                  </w:pPr>
                  <w:r>
                    <w:rPr>
                      <w:szCs w:val="24"/>
                    </w:rPr>
                    <w:lastRenderedPageBreak/>
                    <w:t>6.</w:t>
                  </w:r>
                  <w:r w:rsidR="00775C72">
                    <w:rPr>
                      <w:szCs w:val="24"/>
                    </w:rPr>
                    <w:t>3</w:t>
                  </w:r>
                  <w:r>
                    <w:rPr>
                      <w:szCs w:val="24"/>
                    </w:rPr>
                    <w:t>.</w:t>
                  </w:r>
                </w:p>
              </w:tc>
              <w:tc>
                <w:tcPr>
                  <w:tcW w:w="2410" w:type="dxa"/>
                  <w:tcBorders>
                    <w:top w:val="single" w:sz="6" w:space="0" w:color="000000"/>
                    <w:left w:val="single" w:sz="6" w:space="0" w:color="000000"/>
                    <w:bottom w:val="single" w:sz="6" w:space="0" w:color="000000"/>
                    <w:right w:val="single" w:sz="6" w:space="0" w:color="000000"/>
                  </w:tcBorders>
                </w:tcPr>
                <w:p w14:paraId="4C8D4972" w14:textId="77777777" w:rsidR="00D50DFD" w:rsidRDefault="00000000">
                  <w:pPr>
                    <w:jc w:val="both"/>
                    <w:rPr>
                      <w:szCs w:val="24"/>
                    </w:rPr>
                  </w:pPr>
                  <w:r>
                    <w:rPr>
                      <w:szCs w:val="24"/>
                    </w:rPr>
                    <w:t>Prioritetinis projektų atrankos kriterijus</w:t>
                  </w:r>
                </w:p>
              </w:tc>
              <w:tc>
                <w:tcPr>
                  <w:tcW w:w="3118" w:type="dxa"/>
                  <w:tcBorders>
                    <w:top w:val="single" w:sz="6" w:space="0" w:color="000000"/>
                    <w:left w:val="single" w:sz="6" w:space="0" w:color="000000"/>
                    <w:bottom w:val="single" w:sz="6" w:space="0" w:color="000000"/>
                    <w:right w:val="single" w:sz="6" w:space="0" w:color="000000"/>
                  </w:tcBorders>
                </w:tcPr>
                <w:p w14:paraId="63477BE5" w14:textId="6B759518" w:rsidR="00D50DFD" w:rsidRDefault="00FC2C6E">
                  <w:pPr>
                    <w:jc w:val="both"/>
                    <w:rPr>
                      <w:szCs w:val="24"/>
                    </w:rPr>
                  </w:pPr>
                  <w:r w:rsidRPr="00FC2C6E">
                    <w:rPr>
                      <w:bCs/>
                      <w:iCs/>
                      <w:szCs w:val="24"/>
                      <w:lang w:eastAsia="lt-LT"/>
                    </w:rPr>
                    <w:t>Lietuvos mokslo įstaiga, turinti patirties Baltijos jūros tyrimuose</w:t>
                  </w:r>
                </w:p>
              </w:tc>
              <w:tc>
                <w:tcPr>
                  <w:tcW w:w="8294" w:type="dxa"/>
                  <w:tcBorders>
                    <w:top w:val="single" w:sz="6" w:space="0" w:color="000000"/>
                    <w:left w:val="single" w:sz="6" w:space="0" w:color="000000"/>
                    <w:bottom w:val="single" w:sz="6" w:space="0" w:color="000000"/>
                    <w:right w:val="single" w:sz="6" w:space="0" w:color="000000"/>
                  </w:tcBorders>
                </w:tcPr>
                <w:p w14:paraId="6081C34F" w14:textId="77777777" w:rsidR="00FC2C6E" w:rsidRPr="00FC2C6E" w:rsidRDefault="00FC2C6E" w:rsidP="00FC2C6E">
                  <w:pPr>
                    <w:widowControl w:val="0"/>
                    <w:jc w:val="both"/>
                    <w:textAlignment w:val="baseline"/>
                    <w:rPr>
                      <w:bCs/>
                      <w:iCs/>
                      <w:szCs w:val="24"/>
                      <w:lang w:eastAsia="lt-LT"/>
                    </w:rPr>
                  </w:pPr>
                  <w:r w:rsidRPr="00FC2C6E">
                    <w:rPr>
                      <w:bCs/>
                      <w:iCs/>
                      <w:szCs w:val="24"/>
                      <w:lang w:eastAsia="lt-LT"/>
                    </w:rPr>
                    <w:t>Tokią patirtį patvirtina bent vienas iš šių faktų, įvykęs per 5 metų laikotarpį, ėjusį iki PĮP pateikimo metų: a) dalyvavimas projektuose, skirtuose tyrinėti Baltijos jūrą, kaip projekto rengėjas arba projekto partneris; b) dalyvavimas tarptautiniuose projektuose, skirtuose tyrinėti Baltijos jūrą; c) atlikti užsakomieji Baltijos jūros tyrimai.</w:t>
                  </w:r>
                </w:p>
                <w:p w14:paraId="6D2E92DA" w14:textId="3CA74D3B" w:rsidR="00FC2C6E" w:rsidRPr="00FC2C6E" w:rsidRDefault="00FC2C6E" w:rsidP="00FC2C6E">
                  <w:pPr>
                    <w:widowControl w:val="0"/>
                    <w:jc w:val="both"/>
                    <w:textAlignment w:val="baseline"/>
                    <w:rPr>
                      <w:bCs/>
                      <w:iCs/>
                      <w:szCs w:val="24"/>
                      <w:lang w:eastAsia="lt-LT"/>
                    </w:rPr>
                  </w:pPr>
                  <w:r>
                    <w:rPr>
                      <w:bCs/>
                      <w:iCs/>
                      <w:szCs w:val="24"/>
                      <w:lang w:eastAsia="lt-LT"/>
                    </w:rPr>
                    <w:t xml:space="preserve">6.3.1. </w:t>
                  </w:r>
                  <w:r w:rsidRPr="00FC2C6E">
                    <w:rPr>
                      <w:bCs/>
                      <w:iCs/>
                      <w:szCs w:val="24"/>
                      <w:lang w:eastAsia="lt-LT"/>
                    </w:rPr>
                    <w:t>Už dalyvavimą 1 projekte arba užsakomojo tyrimo atlikimą skiriama 10 balų;</w:t>
                  </w:r>
                </w:p>
                <w:p w14:paraId="2EC49747" w14:textId="3715593B" w:rsidR="00FC2C6E" w:rsidRPr="00FC2C6E" w:rsidRDefault="00FC2C6E" w:rsidP="00FC2C6E">
                  <w:pPr>
                    <w:widowControl w:val="0"/>
                    <w:jc w:val="both"/>
                    <w:textAlignment w:val="baseline"/>
                    <w:rPr>
                      <w:bCs/>
                      <w:iCs/>
                      <w:szCs w:val="24"/>
                      <w:lang w:eastAsia="lt-LT"/>
                    </w:rPr>
                  </w:pPr>
                  <w:r>
                    <w:rPr>
                      <w:bCs/>
                      <w:iCs/>
                      <w:szCs w:val="24"/>
                      <w:lang w:eastAsia="lt-LT"/>
                    </w:rPr>
                    <w:t xml:space="preserve">6.3.2. </w:t>
                  </w:r>
                  <w:r w:rsidRPr="00FC2C6E">
                    <w:rPr>
                      <w:bCs/>
                      <w:iCs/>
                      <w:szCs w:val="24"/>
                      <w:lang w:eastAsia="lt-LT"/>
                    </w:rPr>
                    <w:t>Už dalyvavimą 2 projektuose arba 2 užsakomųjų tyrimų atlikimą (arba už dalyvavimą 1 projekte ir už 1 atliktą užsakomąjį tyrimą) skiriama 20 balų,</w:t>
                  </w:r>
                </w:p>
                <w:p w14:paraId="04D89622" w14:textId="2C6E9AFE" w:rsidR="00D50DFD" w:rsidRDefault="00FC2C6E" w:rsidP="00FC2C6E">
                  <w:pPr>
                    <w:jc w:val="both"/>
                    <w:rPr>
                      <w:szCs w:val="24"/>
                    </w:rPr>
                  </w:pPr>
                  <w:r>
                    <w:rPr>
                      <w:bCs/>
                      <w:iCs/>
                      <w:szCs w:val="24"/>
                      <w:lang w:eastAsia="lt-LT"/>
                    </w:rPr>
                    <w:t xml:space="preserve">6.3.3. </w:t>
                  </w:r>
                  <w:r w:rsidRPr="00FC2C6E">
                    <w:rPr>
                      <w:bCs/>
                      <w:iCs/>
                      <w:szCs w:val="24"/>
                      <w:lang w:eastAsia="lt-LT"/>
                    </w:rPr>
                    <w:t>Už dalyvavimą 3 ir daugiau projektuose arba 3 ir daugiau užsakomųjų tyrimų atlikimą (arba už dalyvavimą 2 projektuose ir už 1 atliktą užsakomąjį tyrimą arba už dalyvavimą 1 projekte ir už 2 atliktus užsakomuosius tyrimus) skiriama 30 balų.</w:t>
                  </w:r>
                </w:p>
              </w:tc>
            </w:tr>
            <w:tr w:rsidR="00D50DFD" w14:paraId="2DB61B19" w14:textId="77777777">
              <w:trPr>
                <w:trHeight w:val="2454"/>
              </w:trPr>
              <w:tc>
                <w:tcPr>
                  <w:tcW w:w="723" w:type="dxa"/>
                  <w:tcBorders>
                    <w:top w:val="single" w:sz="6" w:space="0" w:color="000000"/>
                    <w:left w:val="single" w:sz="6" w:space="0" w:color="000000"/>
                    <w:bottom w:val="single" w:sz="6" w:space="0" w:color="000000"/>
                    <w:right w:val="single" w:sz="6" w:space="0" w:color="000000"/>
                  </w:tcBorders>
                  <w:vAlign w:val="center"/>
                </w:tcPr>
                <w:p w14:paraId="33EFF76C" w14:textId="78122187" w:rsidR="00D50DFD" w:rsidRDefault="00000000">
                  <w:pPr>
                    <w:jc w:val="center"/>
                    <w:rPr>
                      <w:szCs w:val="24"/>
                    </w:rPr>
                  </w:pPr>
                  <w:r>
                    <w:rPr>
                      <w:szCs w:val="24"/>
                    </w:rPr>
                    <w:t>6.</w:t>
                  </w:r>
                  <w:r w:rsidR="00FC2C6E">
                    <w:rPr>
                      <w:szCs w:val="24"/>
                    </w:rPr>
                    <w:t>4</w:t>
                  </w:r>
                  <w:r>
                    <w:rPr>
                      <w:szCs w:val="24"/>
                    </w:rPr>
                    <w:t>.</w:t>
                  </w:r>
                </w:p>
              </w:tc>
              <w:tc>
                <w:tcPr>
                  <w:tcW w:w="2410" w:type="dxa"/>
                  <w:tcBorders>
                    <w:top w:val="single" w:sz="6" w:space="0" w:color="000000"/>
                    <w:left w:val="single" w:sz="6" w:space="0" w:color="000000"/>
                    <w:bottom w:val="single" w:sz="6" w:space="0" w:color="000000"/>
                    <w:right w:val="single" w:sz="6" w:space="0" w:color="000000"/>
                  </w:tcBorders>
                </w:tcPr>
                <w:p w14:paraId="17F3AEB9" w14:textId="77777777" w:rsidR="00D50DFD" w:rsidRDefault="00000000">
                  <w:pPr>
                    <w:jc w:val="both"/>
                    <w:rPr>
                      <w:szCs w:val="24"/>
                    </w:rPr>
                  </w:pPr>
                  <w:r>
                    <w:rPr>
                      <w:szCs w:val="24"/>
                    </w:rPr>
                    <w:t>Prioritetinis projektų atrankos kriterijus</w:t>
                  </w:r>
                </w:p>
              </w:tc>
              <w:tc>
                <w:tcPr>
                  <w:tcW w:w="3118" w:type="dxa"/>
                  <w:tcBorders>
                    <w:top w:val="single" w:sz="6" w:space="0" w:color="000000"/>
                    <w:left w:val="single" w:sz="6" w:space="0" w:color="000000"/>
                    <w:bottom w:val="single" w:sz="6" w:space="0" w:color="000000"/>
                    <w:right w:val="single" w:sz="6" w:space="0" w:color="000000"/>
                  </w:tcBorders>
                </w:tcPr>
                <w:p w14:paraId="7A82A36E" w14:textId="363F9881" w:rsidR="00D50DFD" w:rsidRDefault="00FC2C6E">
                  <w:pPr>
                    <w:jc w:val="both"/>
                    <w:rPr>
                      <w:szCs w:val="24"/>
                    </w:rPr>
                  </w:pPr>
                  <w:r w:rsidRPr="00FC2C6E">
                    <w:rPr>
                      <w:rFonts w:eastAsia="Calibri"/>
                      <w:szCs w:val="24"/>
                      <w:lang w:eastAsia="lt-LT"/>
                    </w:rPr>
                    <w:t>Lietuvos mokslo įstaiga, turinti patirties jūros užterštumo tyrimuose</w:t>
                  </w:r>
                </w:p>
              </w:tc>
              <w:tc>
                <w:tcPr>
                  <w:tcW w:w="8294" w:type="dxa"/>
                  <w:tcBorders>
                    <w:top w:val="single" w:sz="6" w:space="0" w:color="000000"/>
                    <w:left w:val="single" w:sz="6" w:space="0" w:color="000000"/>
                    <w:bottom w:val="single" w:sz="6" w:space="0" w:color="000000"/>
                    <w:right w:val="single" w:sz="6" w:space="0" w:color="000000"/>
                  </w:tcBorders>
                </w:tcPr>
                <w:p w14:paraId="2604A6C9" w14:textId="77777777" w:rsidR="00FC2C6E" w:rsidRPr="00FC2C6E" w:rsidRDefault="00FC2C6E" w:rsidP="00FC2C6E">
                  <w:pPr>
                    <w:jc w:val="both"/>
                    <w:rPr>
                      <w:bCs/>
                      <w:iCs/>
                      <w:szCs w:val="24"/>
                      <w:lang w:eastAsia="lt-LT"/>
                    </w:rPr>
                  </w:pPr>
                  <w:r w:rsidRPr="00FC2C6E">
                    <w:rPr>
                      <w:bCs/>
                      <w:iCs/>
                      <w:szCs w:val="24"/>
                      <w:lang w:eastAsia="lt-LT"/>
                    </w:rPr>
                    <w:t>Tokią patirtį patvirtina bent vienas iš šių faktų, įvykęs per 5 metų laikotarpį, ėjusį iki PĮP pateikimo metų: a) dalyvavimas projektuose, skirtuose tyrinėti jūros užterštumą, kaip projekto rengėjas arba projekto partneriu; b) dalyvavimas tarptautiniuose projektuose, skirtuose tyrinėti jūros taršą; c) atlikti užsakomuosius jūros taršos tyrimus.</w:t>
                  </w:r>
                </w:p>
                <w:p w14:paraId="1B7F31CE" w14:textId="706962C9" w:rsidR="00FC2C6E" w:rsidRPr="00FC2C6E" w:rsidRDefault="00FC2C6E" w:rsidP="00FC2C6E">
                  <w:pPr>
                    <w:jc w:val="both"/>
                    <w:rPr>
                      <w:bCs/>
                      <w:iCs/>
                      <w:szCs w:val="24"/>
                      <w:lang w:eastAsia="lt-LT"/>
                    </w:rPr>
                  </w:pPr>
                  <w:r>
                    <w:rPr>
                      <w:bCs/>
                      <w:iCs/>
                      <w:szCs w:val="24"/>
                      <w:lang w:eastAsia="lt-LT"/>
                    </w:rPr>
                    <w:t xml:space="preserve">6.4.1. </w:t>
                  </w:r>
                  <w:r w:rsidRPr="00FC2C6E">
                    <w:rPr>
                      <w:bCs/>
                      <w:iCs/>
                      <w:szCs w:val="24"/>
                      <w:lang w:eastAsia="lt-LT"/>
                    </w:rPr>
                    <w:t>Už dalyvavimą 1 projekte arba 1 užsakomojo tyrimo atlikimą skiriama 10 balų;</w:t>
                  </w:r>
                </w:p>
                <w:p w14:paraId="79A67BEE" w14:textId="2EA7B07C" w:rsidR="00FC2C6E" w:rsidRPr="00FC2C6E" w:rsidRDefault="00FC2C6E" w:rsidP="00FC2C6E">
                  <w:pPr>
                    <w:jc w:val="both"/>
                    <w:rPr>
                      <w:bCs/>
                      <w:iCs/>
                      <w:szCs w:val="24"/>
                      <w:lang w:eastAsia="lt-LT"/>
                    </w:rPr>
                  </w:pPr>
                  <w:r>
                    <w:rPr>
                      <w:bCs/>
                      <w:iCs/>
                      <w:szCs w:val="24"/>
                      <w:lang w:eastAsia="lt-LT"/>
                    </w:rPr>
                    <w:t xml:space="preserve">6.4.2. </w:t>
                  </w:r>
                  <w:r w:rsidRPr="00FC2C6E">
                    <w:rPr>
                      <w:bCs/>
                      <w:iCs/>
                      <w:szCs w:val="24"/>
                      <w:lang w:eastAsia="lt-LT"/>
                    </w:rPr>
                    <w:t>Už dalyvavimą 2 projektuose arba 2 užsakomųjų tyrimų atlikimą skiriama (arba už dalyvavimą 1 projekte ir už 1 atliktą užsakomąjį tyrimą) 20 balų;</w:t>
                  </w:r>
                </w:p>
                <w:p w14:paraId="0F6EEE3C" w14:textId="0BA51B5D" w:rsidR="00D50DFD" w:rsidRDefault="00FC2C6E" w:rsidP="00FC2C6E">
                  <w:pPr>
                    <w:jc w:val="both"/>
                    <w:rPr>
                      <w:szCs w:val="24"/>
                    </w:rPr>
                  </w:pPr>
                  <w:r>
                    <w:rPr>
                      <w:bCs/>
                      <w:iCs/>
                      <w:szCs w:val="24"/>
                      <w:lang w:eastAsia="lt-LT"/>
                    </w:rPr>
                    <w:t xml:space="preserve">6.4.3. </w:t>
                  </w:r>
                  <w:r w:rsidRPr="00FC2C6E">
                    <w:rPr>
                      <w:bCs/>
                      <w:iCs/>
                      <w:szCs w:val="24"/>
                      <w:lang w:eastAsia="lt-LT"/>
                    </w:rPr>
                    <w:t>Už dalyvavimą 3 ir daugiau projektuose arba 3 ir daugiau užsakomųjų tyrimų atlikimą skiriama 30 balų (arba už dalyvavimą 2 projektuose ir už 1 atliktą užsakomąjį tyrimą arba už dalyvavimą 1 projekte ir už 2 atliktus užsakomuosius tyrimus).</w:t>
                  </w:r>
                </w:p>
              </w:tc>
            </w:tr>
          </w:tbl>
          <w:p w14:paraId="64C544BA" w14:textId="77777777" w:rsidR="00D50DFD" w:rsidRDefault="00D50DFD">
            <w:pPr>
              <w:jc w:val="both"/>
              <w:rPr>
                <w:iCs/>
                <w:szCs w:val="24"/>
              </w:rPr>
            </w:pPr>
          </w:p>
          <w:p w14:paraId="7EEA8250" w14:textId="7D5F32FE" w:rsidR="00D50DFD" w:rsidRDefault="00000000">
            <w:pPr>
              <w:spacing w:line="360" w:lineRule="auto"/>
              <w:jc w:val="both"/>
              <w:rPr>
                <w:iCs/>
                <w:szCs w:val="24"/>
              </w:rPr>
            </w:pPr>
            <w:r>
              <w:rPr>
                <w:iCs/>
                <w:szCs w:val="24"/>
              </w:rPr>
              <w:t xml:space="preserve">6.8. Kartu su PĮP teikiama (Aprašo 1 priedas), kurioje pateikiama atitikčiai prioritetiniams projektų atrankos kriterijams įvertinti reikalinga informacija apie numatomą įgyvendinti projektą. </w:t>
            </w:r>
          </w:p>
          <w:p w14:paraId="059622BD" w14:textId="127C7C69" w:rsidR="00D50DFD" w:rsidRDefault="00000000">
            <w:pPr>
              <w:spacing w:line="360" w:lineRule="auto"/>
              <w:jc w:val="both"/>
              <w:rPr>
                <w:iCs/>
                <w:szCs w:val="24"/>
              </w:rPr>
            </w:pPr>
            <w:r>
              <w:rPr>
                <w:iCs/>
                <w:szCs w:val="24"/>
              </w:rPr>
              <w:t xml:space="preserve">6.9. Projektas turi atitikti bendruosius projektų atrankos kriterijus, nustatytus PFAT 3 priede, išskyrus 6 punkte ir 2.3, 3.2.9, 3.2.10, </w:t>
            </w:r>
            <w:r w:rsidR="007C555A">
              <w:rPr>
                <w:iCs/>
                <w:szCs w:val="24"/>
              </w:rPr>
              <w:t>3.3.,</w:t>
            </w:r>
            <w:r>
              <w:rPr>
                <w:iCs/>
                <w:szCs w:val="24"/>
              </w:rPr>
              <w:t>3.5, 3.6, ir 7.2 papunkčiuose nustatytus bendruosius projektų atrankos kriterijus ir (ar) vertinimo aspektus.</w:t>
            </w:r>
          </w:p>
          <w:p w14:paraId="6BBF60E2" w14:textId="1BFABE32" w:rsidR="00D50DFD" w:rsidRDefault="00000000">
            <w:pPr>
              <w:spacing w:line="360" w:lineRule="auto"/>
              <w:jc w:val="both"/>
              <w:rPr>
                <w:iCs/>
                <w:szCs w:val="24"/>
              </w:rPr>
            </w:pPr>
            <w:r>
              <w:rPr>
                <w:iCs/>
                <w:szCs w:val="24"/>
              </w:rPr>
              <w:t xml:space="preserve">6.10. </w:t>
            </w:r>
            <w:r>
              <w:rPr>
                <w:szCs w:val="24"/>
              </w:rPr>
              <w:t xml:space="preserve">Mažiausias privalomas surinkti prioritetinių balų skaičius yra </w:t>
            </w:r>
            <w:r w:rsidR="009B7759">
              <w:rPr>
                <w:szCs w:val="24"/>
              </w:rPr>
              <w:t>2</w:t>
            </w:r>
            <w:r>
              <w:rPr>
                <w:szCs w:val="24"/>
              </w:rPr>
              <w:t>0 balų.</w:t>
            </w:r>
          </w:p>
        </w:tc>
      </w:tr>
      <w:tr w:rsidR="00D50DFD" w14:paraId="75D9964F" w14:textId="77777777">
        <w:tc>
          <w:tcPr>
            <w:tcW w:w="14709" w:type="dxa"/>
          </w:tcPr>
          <w:p w14:paraId="70EE0242" w14:textId="77777777" w:rsidR="00D50DFD" w:rsidRDefault="00000000">
            <w:pPr>
              <w:spacing w:line="360" w:lineRule="auto"/>
              <w:rPr>
                <w:b/>
                <w:szCs w:val="24"/>
              </w:rPr>
            </w:pPr>
            <w:r>
              <w:rPr>
                <w:b/>
                <w:szCs w:val="24"/>
              </w:rPr>
              <w:lastRenderedPageBreak/>
              <w:t xml:space="preserve">7. Reikalavimai įgyvendinus projektų veiklas </w:t>
            </w:r>
          </w:p>
        </w:tc>
      </w:tr>
      <w:tr w:rsidR="00D50DFD" w14:paraId="4F49A8CE" w14:textId="77777777">
        <w:tc>
          <w:tcPr>
            <w:tcW w:w="14709" w:type="dxa"/>
          </w:tcPr>
          <w:p w14:paraId="37684A1D" w14:textId="1035319F" w:rsidR="00D50DFD" w:rsidRDefault="00000000">
            <w:pPr>
              <w:spacing w:line="360" w:lineRule="auto"/>
              <w:rPr>
                <w:iCs/>
                <w:szCs w:val="24"/>
              </w:rPr>
            </w:pPr>
            <w:r>
              <w:rPr>
                <w:iCs/>
                <w:szCs w:val="24"/>
              </w:rPr>
              <w:t xml:space="preserve">7.1. </w:t>
            </w:r>
            <w:r w:rsidR="006A67E1">
              <w:rPr>
                <w:iCs/>
                <w:szCs w:val="24"/>
              </w:rPr>
              <w:t>Numatytas projekto t</w:t>
            </w:r>
            <w:r>
              <w:rPr>
                <w:iCs/>
                <w:szCs w:val="24"/>
              </w:rPr>
              <w:t>ęstinum</w:t>
            </w:r>
            <w:r w:rsidR="006A67E1">
              <w:rPr>
                <w:iCs/>
                <w:szCs w:val="24"/>
              </w:rPr>
              <w:t xml:space="preserve">as, skiriant lėšas jūros šiukšlių fiziniam pašalinimui. Projekto vykdytojas nėra įpareigotas dalyvauti tęstiniame projekte. </w:t>
            </w:r>
            <w:r>
              <w:rPr>
                <w:iCs/>
                <w:szCs w:val="24"/>
              </w:rPr>
              <w:t xml:space="preserve"> </w:t>
            </w:r>
          </w:p>
          <w:p w14:paraId="36F0064A" w14:textId="77777777" w:rsidR="00D50DFD" w:rsidRDefault="00000000">
            <w:pPr>
              <w:spacing w:line="360" w:lineRule="auto"/>
              <w:rPr>
                <w:iCs/>
                <w:szCs w:val="24"/>
              </w:rPr>
            </w:pPr>
            <w:r>
              <w:rPr>
                <w:iCs/>
                <w:szCs w:val="24"/>
              </w:rPr>
              <w:t>7.2. Be Nacionalinės mokėjimo agentūros prie Žemės ūkio ministerijos (toliau – Agentūra) sutikimo 3 metus nuo projekto finansavimo pabaigos negalima perleisti, parduoti, įkeisti turto ar kitokiu būdu suvaržyti intelektinių ar daiktinių teisių į turtą, kuriam įsigyti ar sukurti skiriamos projekto paramos lėšos. Jei paramos gavėjas nori perleisti ar kitokiu būdu suvaržyti turtą, jis turi gauti Agentūros sutikimą, kuris gali būti suteikiamas, jei tai nepakenks projekto tikslams, atitiks kolektyvinius interesus ir išliks užtikrinta galimybė visuomenei susipažinti su projekto rezultatais.</w:t>
            </w:r>
            <w:r>
              <w:rPr>
                <w:szCs w:val="24"/>
              </w:rPr>
              <w:t xml:space="preserve"> Jei perleidus </w:t>
            </w:r>
            <w:r>
              <w:rPr>
                <w:iCs/>
                <w:szCs w:val="24"/>
              </w:rPr>
              <w:t xml:space="preserve">turtą, kuriam įsigyti ar sukurti buvo skirtos projekto paramos lėšos, gaunamos pajamos, jos  turi būti grąžinamos Agentūrai.  </w:t>
            </w:r>
          </w:p>
          <w:p w14:paraId="312E10DD" w14:textId="77777777" w:rsidR="00D50DFD" w:rsidRDefault="00000000">
            <w:pPr>
              <w:spacing w:line="360" w:lineRule="auto"/>
              <w:rPr>
                <w:iCs/>
                <w:szCs w:val="24"/>
              </w:rPr>
            </w:pPr>
            <w:r>
              <w:rPr>
                <w:iCs/>
                <w:szCs w:val="24"/>
              </w:rPr>
              <w:t>7.3. Nustačius pažeidimą dėl Aprašo 7.1 arba 7.2 papunktyje nustatytų  reikalavimų neįvykdymo, netinkamos finansuoti projekto išlaidos (finansinės pataisos) apskaičiuojamos kaip nustatyta PFAT 5 priedo „Su pažeidimu susijusių netinkamų finansuoti projekto išlaidų apskaičiavimo ir taikymo metodika“ 2 punkte.</w:t>
            </w:r>
          </w:p>
        </w:tc>
      </w:tr>
      <w:tr w:rsidR="00D50DFD" w14:paraId="706967B3" w14:textId="77777777">
        <w:tc>
          <w:tcPr>
            <w:tcW w:w="14709" w:type="dxa"/>
          </w:tcPr>
          <w:p w14:paraId="57DDBB5B" w14:textId="77777777" w:rsidR="00D50DFD" w:rsidRDefault="00000000">
            <w:pPr>
              <w:spacing w:line="360" w:lineRule="auto"/>
              <w:rPr>
                <w:szCs w:val="24"/>
              </w:rPr>
            </w:pPr>
            <w:r>
              <w:rPr>
                <w:b/>
                <w:szCs w:val="24"/>
              </w:rPr>
              <w:t>8. Kiti reikalavimai</w:t>
            </w:r>
          </w:p>
        </w:tc>
      </w:tr>
      <w:tr w:rsidR="00D50DFD" w14:paraId="772A2F68" w14:textId="77777777">
        <w:tc>
          <w:tcPr>
            <w:tcW w:w="14709" w:type="dxa"/>
          </w:tcPr>
          <w:p w14:paraId="16BC2F79" w14:textId="77777777" w:rsidR="00D50DFD" w:rsidRDefault="00000000">
            <w:pPr>
              <w:tabs>
                <w:tab w:val="left" w:pos="1134"/>
              </w:tabs>
              <w:spacing w:line="360" w:lineRule="auto"/>
              <w:jc w:val="both"/>
              <w:rPr>
                <w:iCs/>
                <w:szCs w:val="24"/>
              </w:rPr>
            </w:pPr>
            <w:r>
              <w:rPr>
                <w:iCs/>
                <w:szCs w:val="24"/>
              </w:rPr>
              <w:t>8.1. PĮP teikiamas, administruojamas ir įgyvendinamas laikantis PFAT nustatytų reikalavimų ir tvarkos. Kartu su PĮP (forma patvirtinta PFAT 1 priede) teikiami priedai ir dokumentai:</w:t>
            </w:r>
          </w:p>
          <w:p w14:paraId="44FF17CB" w14:textId="70B760F1" w:rsidR="00D50DFD" w:rsidRDefault="00000000">
            <w:pPr>
              <w:tabs>
                <w:tab w:val="left" w:pos="1134"/>
              </w:tabs>
              <w:spacing w:line="360" w:lineRule="auto"/>
              <w:jc w:val="both"/>
              <w:rPr>
                <w:iCs/>
                <w:szCs w:val="24"/>
              </w:rPr>
            </w:pPr>
            <w:r>
              <w:rPr>
                <w:iCs/>
                <w:szCs w:val="24"/>
              </w:rPr>
              <w:t>8.1.5. informacija ir dokumentai, pagrindžiantys atitiktį specialiajam atrankos kriterijui, nustatytam Aprašo 6.</w:t>
            </w:r>
            <w:r w:rsidR="006A67E1">
              <w:rPr>
                <w:iCs/>
                <w:szCs w:val="24"/>
              </w:rPr>
              <w:t>1</w:t>
            </w:r>
            <w:r>
              <w:rPr>
                <w:iCs/>
                <w:szCs w:val="24"/>
              </w:rPr>
              <w:t>. papunktyje.</w:t>
            </w:r>
          </w:p>
          <w:p w14:paraId="0940B365" w14:textId="25E75F63" w:rsidR="00D50DFD" w:rsidRDefault="00000000">
            <w:pPr>
              <w:spacing w:line="360" w:lineRule="auto"/>
              <w:jc w:val="both"/>
              <w:rPr>
                <w:color w:val="000000"/>
                <w:szCs w:val="24"/>
                <w:lang w:eastAsia="lt-LT"/>
              </w:rPr>
            </w:pPr>
            <w:r>
              <w:rPr>
                <w:color w:val="000000"/>
                <w:szCs w:val="24"/>
                <w:lang w:eastAsia="lt-LT"/>
              </w:rPr>
              <w:t xml:space="preserve">8.2. Tinkamoms finansuoti išlaidoms, </w:t>
            </w:r>
            <w:r w:rsidR="00385D88">
              <w:rPr>
                <w:color w:val="000000"/>
                <w:szCs w:val="24"/>
                <w:lang w:eastAsia="lt-LT"/>
              </w:rPr>
              <w:t>kurioms nenumatyti fiksuoti įkainiai</w:t>
            </w:r>
            <w:r>
              <w:rPr>
                <w:color w:val="000000"/>
                <w:szCs w:val="24"/>
                <w:lang w:eastAsia="lt-LT"/>
              </w:rPr>
              <w:t>, pagrįsti turi būti pateikiami bent 2 (du) komerciniai pasiūlymai arba viešai tiekėjų pateikta informacija (internete, reklaminėje medžiagoje ir pan.) (su analogiškais išlaidų pagrindines savybes apibūdinančiais techniniais parametrais), o tinkama finansuoti išlaidų suma nustatoma pagal mažiausią pasiūlytą kainą, jei iki PĮP pateikimo šių prekių ar paslaugų pirkimai neatlikti.</w:t>
            </w:r>
          </w:p>
          <w:p w14:paraId="122EEBB5" w14:textId="77777777" w:rsidR="00D50DFD" w:rsidRDefault="00000000">
            <w:pPr>
              <w:spacing w:line="360" w:lineRule="auto"/>
              <w:jc w:val="both"/>
              <w:rPr>
                <w:color w:val="000000"/>
                <w:szCs w:val="24"/>
                <w:lang w:eastAsia="lt-LT"/>
              </w:rPr>
            </w:pPr>
            <w:r>
              <w:rPr>
                <w:color w:val="000000"/>
                <w:szCs w:val="24"/>
                <w:lang w:eastAsia="lt-LT"/>
              </w:rPr>
              <w:t>8.3. Jeigu pareiškėjas iki PĮP pateikimo įvykdo pirkimus, šių pirkimų dokumentus pareiškėjas turi pateikti Agentūrai kartu su PĮP.</w:t>
            </w:r>
          </w:p>
          <w:p w14:paraId="2D153335" w14:textId="77777777" w:rsidR="00D50DFD" w:rsidRDefault="00000000">
            <w:pPr>
              <w:tabs>
                <w:tab w:val="left" w:pos="1134"/>
              </w:tabs>
              <w:spacing w:line="360" w:lineRule="auto"/>
              <w:jc w:val="both"/>
              <w:rPr>
                <w:iCs/>
                <w:szCs w:val="24"/>
              </w:rPr>
            </w:pPr>
            <w:r>
              <w:rPr>
                <w:iCs/>
                <w:szCs w:val="24"/>
              </w:rPr>
              <w:t>8.4. Sprendimus dėl projektų finansavimo priima Agentūra, direktorius arba jo įgaliotas asmuo Agentūros nustatyta sprendimų dėl projektų finansavimo priėmimo tvarka.</w:t>
            </w:r>
          </w:p>
          <w:p w14:paraId="215A316D" w14:textId="77777777" w:rsidR="00D50DFD" w:rsidRDefault="00000000">
            <w:pPr>
              <w:tabs>
                <w:tab w:val="left" w:pos="1134"/>
              </w:tabs>
              <w:spacing w:line="360" w:lineRule="auto"/>
              <w:jc w:val="both"/>
              <w:rPr>
                <w:iCs/>
                <w:szCs w:val="24"/>
              </w:rPr>
            </w:pPr>
            <w:r>
              <w:rPr>
                <w:iCs/>
                <w:szCs w:val="24"/>
              </w:rPr>
              <w:lastRenderedPageBreak/>
              <w:t>8.5. PFAT 122–124 punktuose nustatytais terminais teikiamos veiklos ataskaitos, kuriose nurodoma pagrindinė projekto įgyvendinimo informacija.</w:t>
            </w:r>
            <w:r>
              <w:rPr>
                <w:szCs w:val="24"/>
              </w:rPr>
              <w:t xml:space="preserve"> Pateikus  tarpines ar galutines tyrimo ataskaitas, Agentūra per mėnesį nuo jų pateikimo esant poreikiui gali paprašyti jas pristatyti ir atsakyti į klausimus.</w:t>
            </w:r>
          </w:p>
          <w:p w14:paraId="1C26ECC7" w14:textId="77777777" w:rsidR="00D50DFD" w:rsidRDefault="00000000">
            <w:pPr>
              <w:tabs>
                <w:tab w:val="left" w:pos="1134"/>
              </w:tabs>
              <w:spacing w:line="360" w:lineRule="auto"/>
              <w:jc w:val="both"/>
              <w:rPr>
                <w:iCs/>
                <w:szCs w:val="24"/>
              </w:rPr>
            </w:pPr>
            <w:r>
              <w:rPr>
                <w:iCs/>
                <w:szCs w:val="24"/>
              </w:rPr>
              <w:t xml:space="preserve">8.6. Gali būti mokamas avansas projektams finansuoti (projekto tinkamoms finansuoti išlaidoms apmokėti), laikantis PFAT nustatytų sąlygų. </w:t>
            </w:r>
          </w:p>
          <w:p w14:paraId="1C566164" w14:textId="77777777" w:rsidR="00D50DFD" w:rsidRDefault="00000000">
            <w:pPr>
              <w:tabs>
                <w:tab w:val="left" w:pos="1134"/>
              </w:tabs>
              <w:spacing w:line="360" w:lineRule="auto"/>
              <w:jc w:val="both"/>
              <w:rPr>
                <w:iCs/>
                <w:szCs w:val="24"/>
              </w:rPr>
            </w:pPr>
            <w:r>
              <w:rPr>
                <w:iCs/>
                <w:szCs w:val="24"/>
              </w:rPr>
              <w:t>8.7. Mokėjimo prašymų teikimo periodiškumas nustatomas paramos sutartyje, bet ne rečiau kaip kartą per kalendorinius metus, pradedant nuo pirmų metų, einančių po paramos sutarties pasirašymo metų. Galimų teikti mokėjimo prašymų skaičius neribojamas ir nustatomas pramos sutartyje.</w:t>
            </w:r>
          </w:p>
          <w:p w14:paraId="38E2FDAA" w14:textId="77777777" w:rsidR="00D50DFD" w:rsidRDefault="00000000">
            <w:pPr>
              <w:tabs>
                <w:tab w:val="left" w:pos="1134"/>
              </w:tabs>
              <w:spacing w:line="360" w:lineRule="auto"/>
              <w:jc w:val="both"/>
              <w:rPr>
                <w:i/>
                <w:szCs w:val="24"/>
              </w:rPr>
            </w:pPr>
            <w:r>
              <w:rPr>
                <w:iCs/>
                <w:szCs w:val="24"/>
              </w:rPr>
              <w:t xml:space="preserve">8.8. Agentūrai paprašius ir </w:t>
            </w:r>
            <w:r>
              <w:rPr>
                <w:szCs w:val="24"/>
              </w:rPr>
              <w:t xml:space="preserve"> su paramos gavėju suderinus laiką, paramos gavėjas bent  vieną kartą turi pristatyti projekto rezultatus ŽŪM, socialinių ekonominių partnerių ir sektoriaus atstovams.</w:t>
            </w:r>
          </w:p>
        </w:tc>
      </w:tr>
      <w:tr w:rsidR="00D50DFD" w14:paraId="77794965" w14:textId="77777777">
        <w:tc>
          <w:tcPr>
            <w:tcW w:w="14709" w:type="dxa"/>
          </w:tcPr>
          <w:p w14:paraId="2869A204" w14:textId="77777777" w:rsidR="00D50DFD" w:rsidRDefault="00000000">
            <w:pPr>
              <w:rPr>
                <w:b/>
                <w:szCs w:val="24"/>
              </w:rPr>
            </w:pPr>
            <w:r>
              <w:rPr>
                <w:b/>
                <w:szCs w:val="24"/>
              </w:rPr>
              <w:lastRenderedPageBreak/>
              <w:t>IŠLAIDŲ TINKAMUMO FINANSUOTI REIKALAVIMAI</w:t>
            </w:r>
          </w:p>
        </w:tc>
      </w:tr>
      <w:tr w:rsidR="00D50DFD" w14:paraId="6DCA1998" w14:textId="77777777">
        <w:tc>
          <w:tcPr>
            <w:tcW w:w="14709" w:type="dxa"/>
          </w:tcPr>
          <w:p w14:paraId="03018EA6" w14:textId="77777777" w:rsidR="00D50DFD" w:rsidRDefault="00000000">
            <w:pPr>
              <w:jc w:val="both"/>
              <w:rPr>
                <w:b/>
                <w:szCs w:val="24"/>
              </w:rPr>
            </w:pPr>
            <w:r>
              <w:rPr>
                <w:b/>
                <w:szCs w:val="24"/>
              </w:rPr>
              <w:t>9. Išlaidų tinkamumo finansuoti reikalavimai</w:t>
            </w:r>
          </w:p>
        </w:tc>
      </w:tr>
      <w:tr w:rsidR="00D50DFD" w14:paraId="69023326" w14:textId="77777777">
        <w:tc>
          <w:tcPr>
            <w:tcW w:w="14709" w:type="dxa"/>
          </w:tcPr>
          <w:p w14:paraId="7D44CB43" w14:textId="77777777" w:rsidR="00D50DFD" w:rsidRDefault="00000000">
            <w:pPr>
              <w:spacing w:line="360" w:lineRule="auto"/>
              <w:jc w:val="both"/>
              <w:rPr>
                <w:szCs w:val="24"/>
              </w:rPr>
            </w:pPr>
            <w:r>
              <w:rPr>
                <w:szCs w:val="24"/>
              </w:rPr>
              <w:t xml:space="preserve">9.1. Galimas išlaidų tinkamumo laikotarpis nuo 2023 m. sausio 1 d. iki 2029 m. gruodžio 31 d. </w:t>
            </w:r>
          </w:p>
          <w:p w14:paraId="5336C199" w14:textId="77777777" w:rsidR="00D50DFD" w:rsidRDefault="00000000">
            <w:pPr>
              <w:spacing w:line="360" w:lineRule="auto"/>
              <w:jc w:val="both"/>
              <w:rPr>
                <w:szCs w:val="24"/>
              </w:rPr>
            </w:pPr>
            <w:r>
              <w:rPr>
                <w:szCs w:val="24"/>
              </w:rPr>
              <w:t>9.2. Pagal Aprašą finansuojamų išlaidų kategorijos yra šios:</w:t>
            </w:r>
          </w:p>
          <w:p w14:paraId="76ADF8F3" w14:textId="77777777" w:rsidR="00D50DFD" w:rsidRDefault="00000000">
            <w:pPr>
              <w:spacing w:line="360" w:lineRule="auto"/>
              <w:jc w:val="both"/>
              <w:rPr>
                <w:szCs w:val="24"/>
              </w:rPr>
            </w:pPr>
            <w:r>
              <w:rPr>
                <w:szCs w:val="24"/>
              </w:rPr>
              <w:t xml:space="preserve">9.2.1. </w:t>
            </w:r>
            <w:r>
              <w:rPr>
                <w:color w:val="000000"/>
                <w:szCs w:val="24"/>
                <w:lang w:eastAsia="lt-LT"/>
              </w:rPr>
              <w:t xml:space="preserve">projektą vykdančio personalo darbo užmokestis. </w:t>
            </w:r>
            <w:r>
              <w:rPr>
                <w:color w:val="000000"/>
                <w:szCs w:val="24"/>
              </w:rPr>
              <w:t> Šios kategorijos išlaidos apskaičiuojamos taikant fiksuotąjį įkainį, nustatytą Aprašo 10.1–10.3 papunkčiuose. Kuriam ekonomikos sektoriui pagal EVRK 2 klasifikatorių priklauso paramos gavėjas, nustatoma pagal įmonės kodą. Įmonės kodą įvedus į paieškos langelį </w:t>
            </w:r>
            <w:r>
              <w:rPr>
                <w:color w:val="0000FF"/>
                <w:szCs w:val="24"/>
                <w:u w:val="single"/>
              </w:rPr>
              <w:t>Institucinių sektorių paieška (stat.gov.lt)</w:t>
            </w:r>
            <w:r>
              <w:rPr>
                <w:color w:val="000000"/>
                <w:szCs w:val="24"/>
              </w:rPr>
              <w:t> gaunamas EVRK kodas. Tuomet EVRK klasifikatoriuje</w:t>
            </w:r>
            <w:r>
              <w:rPr>
                <w:b/>
                <w:bCs/>
                <w:color w:val="0000FF"/>
                <w:szCs w:val="24"/>
                <w:u w:val="single"/>
                <w:vertAlign w:val="superscript"/>
              </w:rPr>
              <w:t>[1]</w:t>
            </w:r>
            <w:r>
              <w:rPr>
                <w:color w:val="000000"/>
                <w:szCs w:val="24"/>
              </w:rPr>
              <w:t> pagal kodą randama, kuriam ekonominiam sektoriui  priklauso paramos gavėjas</w:t>
            </w:r>
            <w:r>
              <w:rPr>
                <w:color w:val="000000"/>
                <w:szCs w:val="24"/>
                <w:lang w:eastAsia="lt-LT"/>
              </w:rPr>
              <w:t>;</w:t>
            </w:r>
          </w:p>
          <w:p w14:paraId="0B347179" w14:textId="7F6BCE10" w:rsidR="00D50DFD" w:rsidRDefault="00000000">
            <w:pPr>
              <w:spacing w:line="360" w:lineRule="auto"/>
              <w:jc w:val="both"/>
              <w:rPr>
                <w:szCs w:val="24"/>
              </w:rPr>
            </w:pPr>
            <w:r>
              <w:rPr>
                <w:szCs w:val="24"/>
              </w:rPr>
              <w:t>9.2.2. projektą vykdančio personalo ir (ar) projekto veiklose dalyvaujančių asmenų komandiruočių ir kelionių išlaidos</w:t>
            </w:r>
            <w:r w:rsidR="00553110">
              <w:rPr>
                <w:szCs w:val="24"/>
              </w:rPr>
              <w:t>;</w:t>
            </w:r>
          </w:p>
          <w:p w14:paraId="1AF91919" w14:textId="77777777" w:rsidR="00D50DFD" w:rsidRDefault="00000000">
            <w:pPr>
              <w:spacing w:line="360" w:lineRule="auto"/>
              <w:jc w:val="both"/>
              <w:rPr>
                <w:color w:val="000000"/>
                <w:szCs w:val="24"/>
                <w:lang w:eastAsia="lt-LT"/>
              </w:rPr>
            </w:pPr>
            <w:r>
              <w:rPr>
                <w:szCs w:val="24"/>
              </w:rPr>
              <w:t xml:space="preserve">9.2.3. </w:t>
            </w:r>
            <w:r>
              <w:rPr>
                <w:color w:val="000000"/>
                <w:szCs w:val="24"/>
                <w:lang w:eastAsia="lt-LT"/>
              </w:rPr>
              <w:t xml:space="preserve">numatytoms finansuojamoms </w:t>
            </w:r>
            <w:r>
              <w:rPr>
                <w:szCs w:val="24"/>
              </w:rPr>
              <w:t xml:space="preserve">projekto veikloms įgyvendinti reikalingų </w:t>
            </w:r>
            <w:r>
              <w:rPr>
                <w:color w:val="000000"/>
                <w:szCs w:val="24"/>
                <w:lang w:eastAsia="lt-LT"/>
              </w:rPr>
              <w:t>paslaugų pirkimas:</w:t>
            </w:r>
          </w:p>
          <w:p w14:paraId="6144950B" w14:textId="77777777" w:rsidR="00D50DFD" w:rsidRDefault="00000000">
            <w:pPr>
              <w:spacing w:line="360" w:lineRule="auto"/>
              <w:jc w:val="both"/>
              <w:rPr>
                <w:szCs w:val="24"/>
              </w:rPr>
            </w:pPr>
            <w:r>
              <w:rPr>
                <w:color w:val="000000"/>
                <w:szCs w:val="24"/>
                <w:lang w:eastAsia="lt-LT"/>
              </w:rPr>
              <w:t>9.2.3.1. konsultavimo, mokymų, studijų, ekspertų, tyrimų, audito, vertinimų, kitų paslaugų, susijusių su finansuojamų projekto veiklų įgyvendinimu, pirkimas;</w:t>
            </w:r>
          </w:p>
          <w:p w14:paraId="1F16B358" w14:textId="77777777" w:rsidR="00D50DFD" w:rsidRDefault="00000000">
            <w:pPr>
              <w:spacing w:line="360" w:lineRule="auto"/>
              <w:jc w:val="both"/>
              <w:rPr>
                <w:color w:val="000000"/>
                <w:szCs w:val="24"/>
                <w:lang w:eastAsia="lt-LT"/>
              </w:rPr>
            </w:pPr>
            <w:r>
              <w:rPr>
                <w:color w:val="000000"/>
                <w:szCs w:val="24"/>
                <w:lang w:eastAsia="lt-LT"/>
              </w:rPr>
              <w:t>9.2.3.2. seminarų, konferencijų, mokymų bei kitų informacinių ir mokomųjų renginių, įskaitant žiniasklaidai skirtas priemones, organizavimo išlaidos;</w:t>
            </w:r>
          </w:p>
          <w:p w14:paraId="44EB0378" w14:textId="77777777" w:rsidR="00D50DFD" w:rsidRDefault="00000000">
            <w:pPr>
              <w:spacing w:line="360" w:lineRule="auto"/>
              <w:jc w:val="both"/>
              <w:rPr>
                <w:color w:val="000000"/>
                <w:szCs w:val="24"/>
                <w:lang w:eastAsia="lt-LT"/>
              </w:rPr>
            </w:pPr>
            <w:r>
              <w:rPr>
                <w:color w:val="000000"/>
                <w:szCs w:val="24"/>
                <w:lang w:eastAsia="lt-LT"/>
              </w:rPr>
              <w:t>9.2.4. išlaidos ilgalaikiam materialiajam ir nematerialiajam turtui įsigyti ir eksploatuoti tais atvejais, kai šis turtas reikalingas numatytų finansuojamų projekto veiklų įgyvendinimui;</w:t>
            </w:r>
          </w:p>
          <w:p w14:paraId="06F0FDE5" w14:textId="77777777" w:rsidR="00D50DFD" w:rsidRDefault="00000000">
            <w:pPr>
              <w:spacing w:line="360" w:lineRule="auto"/>
              <w:jc w:val="both"/>
              <w:rPr>
                <w:color w:val="000000"/>
                <w:szCs w:val="24"/>
                <w:lang w:eastAsia="lt-LT"/>
              </w:rPr>
            </w:pPr>
            <w:r>
              <w:rPr>
                <w:color w:val="000000"/>
                <w:szCs w:val="24"/>
                <w:lang w:eastAsia="lt-LT"/>
              </w:rPr>
              <w:lastRenderedPageBreak/>
              <w:t>9.2.5. kitos priemonės, atsargos ir įranga, kurios nėra priskiriamos ilgalaikiam materialiajam turtui, bet reikalingos numatytų finansuojamų projekto veiklų įgyvendinimui;</w:t>
            </w:r>
          </w:p>
          <w:p w14:paraId="6648F1DC" w14:textId="77777777" w:rsidR="00D50DFD" w:rsidRDefault="00000000">
            <w:pPr>
              <w:spacing w:line="360" w:lineRule="auto"/>
              <w:jc w:val="both"/>
              <w:rPr>
                <w:color w:val="000000"/>
                <w:szCs w:val="24"/>
                <w:lang w:eastAsia="lt-LT"/>
              </w:rPr>
            </w:pPr>
            <w:r>
              <w:rPr>
                <w:color w:val="000000"/>
                <w:szCs w:val="24"/>
                <w:lang w:eastAsia="lt-LT"/>
              </w:rPr>
              <w:t>9.2.6. projekto viešinimo išlaidos, skirtos visuomenės informavimo ir viešinimo priemonėms įgyvendinti. Šios kategorijos išlaidos apskaičiuojamos taikant fiksuotąjį įkainį, nustatytą Aprašo 10.2–10.5 papunkčiuose;</w:t>
            </w:r>
          </w:p>
          <w:p w14:paraId="1773838E" w14:textId="77777777" w:rsidR="00D50DFD" w:rsidRDefault="00000000">
            <w:pPr>
              <w:spacing w:line="360" w:lineRule="auto"/>
              <w:jc w:val="both"/>
              <w:rPr>
                <w:color w:val="000000"/>
                <w:szCs w:val="24"/>
                <w:lang w:eastAsia="lt-LT"/>
              </w:rPr>
            </w:pPr>
            <w:r>
              <w:rPr>
                <w:color w:val="000000"/>
                <w:szCs w:val="24"/>
                <w:lang w:eastAsia="lt-LT"/>
              </w:rPr>
              <w:t xml:space="preserve">9.2.7. netiesioginės projekto išlaidos. Šios kategorijos išlaidos apskaičiuojamos taikant fiksuotąją normą, nustatytą Aprašo 10.1 papunktyje. </w:t>
            </w:r>
          </w:p>
          <w:p w14:paraId="458A9103" w14:textId="77777777" w:rsidR="00D50DFD" w:rsidRDefault="00000000">
            <w:pPr>
              <w:spacing w:line="360" w:lineRule="auto"/>
              <w:jc w:val="both"/>
              <w:rPr>
                <w:color w:val="000000"/>
                <w:szCs w:val="24"/>
                <w:lang w:eastAsia="lt-LT"/>
              </w:rPr>
            </w:pPr>
            <w:r>
              <w:rPr>
                <w:color w:val="000000"/>
                <w:szCs w:val="24"/>
                <w:lang w:eastAsia="lt-LT"/>
              </w:rPr>
              <w:t>9.2.7.1. netiesioginėms išlaidoms apmokėti taikoma 7 proc. netiesioginių išlaidų fiksuotoji norma;</w:t>
            </w:r>
          </w:p>
          <w:p w14:paraId="6FEA034B" w14:textId="77777777" w:rsidR="00D50DFD" w:rsidRDefault="00000000">
            <w:pPr>
              <w:spacing w:line="360" w:lineRule="auto"/>
              <w:jc w:val="both"/>
              <w:rPr>
                <w:color w:val="000000"/>
                <w:szCs w:val="24"/>
                <w:lang w:eastAsia="lt-LT"/>
              </w:rPr>
            </w:pPr>
            <w:r>
              <w:rPr>
                <w:color w:val="000000"/>
                <w:szCs w:val="24"/>
                <w:lang w:eastAsia="lt-LT"/>
              </w:rPr>
              <w:t>9.2.7.2. netiesioginės projekto išlaidos skaičiuojamos nuo numatytų finansuojamų projekto veiklų įgyvendinimui tinkamų finansuoti tiesioginių projekto išlaidų.</w:t>
            </w:r>
          </w:p>
          <w:p w14:paraId="7F8D40F7" w14:textId="77777777" w:rsidR="00D50DFD" w:rsidRDefault="00000000">
            <w:pPr>
              <w:spacing w:line="360" w:lineRule="auto"/>
              <w:jc w:val="both"/>
              <w:rPr>
                <w:color w:val="000000"/>
                <w:szCs w:val="24"/>
                <w:lang w:eastAsia="lt-LT"/>
              </w:rPr>
            </w:pPr>
            <w:r>
              <w:rPr>
                <w:color w:val="000000"/>
                <w:szCs w:val="24"/>
                <w:lang w:eastAsia="lt-LT"/>
              </w:rPr>
              <w:t>9.3. Tinkamos finansuoti projekto išlaidos turi atitikti projektų išlaidų reikalavimus, nustatytus PFAT V skyriuje.</w:t>
            </w:r>
          </w:p>
        </w:tc>
      </w:tr>
      <w:tr w:rsidR="00D50DFD" w14:paraId="517A8EE3" w14:textId="77777777">
        <w:trPr>
          <w:trHeight w:val="349"/>
        </w:trPr>
        <w:tc>
          <w:tcPr>
            <w:tcW w:w="14709" w:type="dxa"/>
          </w:tcPr>
          <w:p w14:paraId="1471168B" w14:textId="77777777" w:rsidR="00D50DFD" w:rsidRDefault="00000000">
            <w:pPr>
              <w:jc w:val="both"/>
              <w:rPr>
                <w:szCs w:val="24"/>
              </w:rPr>
            </w:pPr>
            <w:r>
              <w:rPr>
                <w:b/>
                <w:szCs w:val="24"/>
              </w:rPr>
              <w:lastRenderedPageBreak/>
              <w:t>10. Projektų veiklų įgyvendinimui taikomi supaprastintai apmokamų išlaidų dydžiai</w:t>
            </w:r>
          </w:p>
        </w:tc>
      </w:tr>
      <w:tr w:rsidR="00D50DFD" w14:paraId="5A1D8716" w14:textId="77777777">
        <w:tc>
          <w:tcPr>
            <w:tcW w:w="14709" w:type="dxa"/>
          </w:tcPr>
          <w:p w14:paraId="65C883BD" w14:textId="77777777" w:rsidR="00D50DFD" w:rsidRDefault="00000000">
            <w:pPr>
              <w:spacing w:line="360" w:lineRule="auto"/>
              <w:jc w:val="both"/>
              <w:rPr>
                <w:bCs/>
                <w:szCs w:val="24"/>
              </w:rPr>
            </w:pPr>
            <w:r>
              <w:rPr>
                <w:bCs/>
                <w:szCs w:val="24"/>
              </w:rPr>
              <w:t>Supaprastintai apmokamų išlaidų dydžių registras</w:t>
            </w:r>
          </w:p>
          <w:p w14:paraId="5872CB5E" w14:textId="77777777" w:rsidR="00D50DFD" w:rsidRDefault="00000000">
            <w:pPr>
              <w:spacing w:line="360" w:lineRule="auto"/>
              <w:rPr>
                <w:rFonts w:eastAsia="Calibri"/>
                <w:color w:val="0563C1"/>
                <w:szCs w:val="24"/>
                <w:u w:val="single"/>
              </w:rPr>
            </w:pPr>
            <w:r>
              <w:rPr>
                <w:rFonts w:eastAsia="Calibri"/>
                <w:color w:val="0563C1"/>
                <w:szCs w:val="24"/>
                <w:u w:val="single"/>
              </w:rPr>
              <w:t>https://2021.esinvesticijos.lt/dokumentai/supaprastintai-apmokamu-islaidu-dydziu-registras</w:t>
            </w:r>
          </w:p>
          <w:p w14:paraId="46F0A998" w14:textId="77777777" w:rsidR="00D50DFD" w:rsidRDefault="00000000">
            <w:pPr>
              <w:spacing w:line="360" w:lineRule="auto"/>
              <w:jc w:val="both"/>
              <w:rPr>
                <w:bCs/>
                <w:szCs w:val="24"/>
              </w:rPr>
            </w:pPr>
            <w:r>
              <w:rPr>
                <w:bCs/>
                <w:szCs w:val="24"/>
              </w:rPr>
              <w:t>Parengti fiksuotųjų dydžių tyrimai EJRŽAF lėšomis finansuojamoms veikloms</w:t>
            </w:r>
          </w:p>
          <w:p w14:paraId="19A6FAE5" w14:textId="77777777" w:rsidR="00D50DFD" w:rsidRDefault="00000000">
            <w:pPr>
              <w:spacing w:line="360" w:lineRule="auto"/>
              <w:jc w:val="both"/>
              <w:rPr>
                <w:rFonts w:eastAsia="Calibri"/>
                <w:color w:val="0563C1"/>
                <w:szCs w:val="24"/>
                <w:u w:val="single"/>
              </w:rPr>
            </w:pPr>
            <w:r>
              <w:rPr>
                <w:rFonts w:eastAsia="Calibri"/>
                <w:color w:val="0563C1"/>
                <w:szCs w:val="24"/>
                <w:u w:val="single"/>
              </w:rPr>
              <w:t>https://www.esf.lt/veiklos-sritys/metodines-pagalbos-centras/parengti-fiksuotuju-dydziu-tyrimai/1105#c-47/t-81</w:t>
            </w:r>
          </w:p>
          <w:p w14:paraId="35F3F264" w14:textId="77777777" w:rsidR="00D50DFD" w:rsidRDefault="00D50DFD">
            <w:pPr>
              <w:jc w:val="both"/>
              <w:rPr>
                <w:i/>
                <w:iCs/>
                <w:szCs w:val="24"/>
              </w:rPr>
            </w:pPr>
          </w:p>
          <w:tbl>
            <w:tblPr>
              <w:tblW w:w="14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84"/>
              <w:gridCol w:w="1560"/>
              <w:gridCol w:w="1559"/>
              <w:gridCol w:w="3457"/>
            </w:tblGrid>
            <w:tr w:rsidR="00D50DFD" w14:paraId="3DE2A818" w14:textId="77777777">
              <w:trPr>
                <w:trHeight w:val="768"/>
              </w:trPr>
              <w:tc>
                <w:tcPr>
                  <w:tcW w:w="724" w:type="dxa"/>
                  <w:tcBorders>
                    <w:top w:val="single" w:sz="8" w:space="0" w:color="auto"/>
                    <w:left w:val="single" w:sz="8" w:space="0" w:color="auto"/>
                    <w:bottom w:val="single" w:sz="8" w:space="0" w:color="auto"/>
                    <w:right w:val="single" w:sz="8" w:space="0" w:color="auto"/>
                  </w:tcBorders>
                </w:tcPr>
                <w:p w14:paraId="6AA6BFF1" w14:textId="77777777" w:rsidR="00D50DFD" w:rsidRDefault="00D50DFD">
                  <w:pPr>
                    <w:jc w:val="center"/>
                    <w:rPr>
                      <w:b/>
                      <w:bCs/>
                      <w:szCs w:val="24"/>
                    </w:rPr>
                  </w:pPr>
                </w:p>
              </w:tc>
              <w:tc>
                <w:tcPr>
                  <w:tcW w:w="7084" w:type="dxa"/>
                  <w:tcBorders>
                    <w:top w:val="single" w:sz="8" w:space="0" w:color="auto"/>
                    <w:left w:val="single" w:sz="8" w:space="0" w:color="auto"/>
                    <w:bottom w:val="single" w:sz="8" w:space="0" w:color="auto"/>
                    <w:right w:val="single" w:sz="8" w:space="0" w:color="auto"/>
                  </w:tcBorders>
                  <w:vAlign w:val="center"/>
                </w:tcPr>
                <w:p w14:paraId="1A1E63AF" w14:textId="77777777" w:rsidR="00D50DFD" w:rsidRDefault="00000000">
                  <w:pPr>
                    <w:jc w:val="center"/>
                    <w:rPr>
                      <w:b/>
                      <w:bCs/>
                      <w:szCs w:val="24"/>
                    </w:rPr>
                  </w:pPr>
                  <w:r>
                    <w:rPr>
                      <w:b/>
                      <w:bCs/>
                      <w:szCs w:val="24"/>
                    </w:rPr>
                    <w:t>Veiklos ir (ar) išlaidos, kurioms taikomi supaprastintai apmokamų išlaidų dydžiai</w:t>
                  </w:r>
                </w:p>
              </w:tc>
              <w:tc>
                <w:tcPr>
                  <w:tcW w:w="1560" w:type="dxa"/>
                  <w:tcBorders>
                    <w:top w:val="single" w:sz="8" w:space="0" w:color="auto"/>
                    <w:left w:val="single" w:sz="8" w:space="0" w:color="auto"/>
                    <w:bottom w:val="single" w:sz="8" w:space="0" w:color="auto"/>
                    <w:right w:val="single" w:sz="8" w:space="0" w:color="auto"/>
                  </w:tcBorders>
                  <w:vAlign w:val="center"/>
                </w:tcPr>
                <w:p w14:paraId="1AE2EFF7" w14:textId="77777777" w:rsidR="00D50DFD" w:rsidRDefault="00000000">
                  <w:pPr>
                    <w:jc w:val="center"/>
                    <w:rPr>
                      <w:b/>
                      <w:bCs/>
                      <w:szCs w:val="24"/>
                    </w:rPr>
                  </w:pPr>
                  <w:r>
                    <w:rPr>
                      <w:b/>
                      <w:bCs/>
                      <w:szCs w:val="24"/>
                    </w:rPr>
                    <w:t>Supaprastintai apmokamų išlaidų dydžio kodas</w:t>
                  </w:r>
                </w:p>
              </w:tc>
              <w:tc>
                <w:tcPr>
                  <w:tcW w:w="1559" w:type="dxa"/>
                  <w:tcBorders>
                    <w:top w:val="single" w:sz="8" w:space="0" w:color="auto"/>
                    <w:left w:val="single" w:sz="8" w:space="0" w:color="auto"/>
                    <w:bottom w:val="single" w:sz="8" w:space="0" w:color="auto"/>
                    <w:right w:val="single" w:sz="8" w:space="0" w:color="auto"/>
                  </w:tcBorders>
                  <w:vAlign w:val="center"/>
                </w:tcPr>
                <w:p w14:paraId="0F1CA3D6" w14:textId="77777777" w:rsidR="00D50DFD" w:rsidRDefault="00000000">
                  <w:pPr>
                    <w:jc w:val="center"/>
                    <w:rPr>
                      <w:b/>
                      <w:bCs/>
                      <w:i/>
                      <w:iCs/>
                      <w:color w:val="808080"/>
                      <w:szCs w:val="24"/>
                    </w:rPr>
                  </w:pPr>
                  <w:r>
                    <w:rPr>
                      <w:b/>
                      <w:bCs/>
                      <w:szCs w:val="24"/>
                    </w:rPr>
                    <w:t>Supaprastintai apmokamų išlaidų dydžio versija</w:t>
                  </w:r>
                </w:p>
              </w:tc>
              <w:tc>
                <w:tcPr>
                  <w:tcW w:w="3457" w:type="dxa"/>
                  <w:tcBorders>
                    <w:top w:val="single" w:sz="8" w:space="0" w:color="auto"/>
                    <w:left w:val="single" w:sz="8" w:space="0" w:color="auto"/>
                    <w:bottom w:val="single" w:sz="8" w:space="0" w:color="auto"/>
                    <w:right w:val="single" w:sz="8" w:space="0" w:color="auto"/>
                  </w:tcBorders>
                  <w:vAlign w:val="center"/>
                </w:tcPr>
                <w:p w14:paraId="58C5F8B2" w14:textId="77777777" w:rsidR="00D50DFD" w:rsidRDefault="00000000">
                  <w:pPr>
                    <w:jc w:val="center"/>
                    <w:rPr>
                      <w:b/>
                      <w:bCs/>
                      <w:szCs w:val="24"/>
                    </w:rPr>
                  </w:pPr>
                  <w:r>
                    <w:rPr>
                      <w:b/>
                      <w:bCs/>
                      <w:szCs w:val="24"/>
                    </w:rPr>
                    <w:t>Supaprastintai apmokamų išlaidų dydžio pavadinimas</w:t>
                  </w:r>
                </w:p>
              </w:tc>
            </w:tr>
            <w:tr w:rsidR="00D50DFD" w14:paraId="0725467D" w14:textId="77777777">
              <w:trPr>
                <w:trHeight w:val="413"/>
              </w:trPr>
              <w:tc>
                <w:tcPr>
                  <w:tcW w:w="724" w:type="dxa"/>
                  <w:tcBorders>
                    <w:top w:val="single" w:sz="8" w:space="0" w:color="auto"/>
                    <w:left w:val="single" w:sz="8" w:space="0" w:color="auto"/>
                    <w:bottom w:val="single" w:sz="8" w:space="0" w:color="auto"/>
                    <w:right w:val="single" w:sz="8" w:space="0" w:color="auto"/>
                  </w:tcBorders>
                  <w:vAlign w:val="center"/>
                </w:tcPr>
                <w:p w14:paraId="3B577BFB" w14:textId="77777777" w:rsidR="00D50DFD" w:rsidRDefault="00000000">
                  <w:pPr>
                    <w:jc w:val="center"/>
                    <w:rPr>
                      <w:bCs/>
                      <w:szCs w:val="24"/>
                    </w:rPr>
                  </w:pPr>
                  <w:r>
                    <w:rPr>
                      <w:bCs/>
                      <w:szCs w:val="24"/>
                    </w:rPr>
                    <w:t>1</w:t>
                  </w:r>
                </w:p>
              </w:tc>
              <w:tc>
                <w:tcPr>
                  <w:tcW w:w="7084" w:type="dxa"/>
                  <w:tcBorders>
                    <w:top w:val="single" w:sz="8" w:space="0" w:color="auto"/>
                    <w:left w:val="single" w:sz="8" w:space="0" w:color="auto"/>
                    <w:bottom w:val="single" w:sz="8" w:space="0" w:color="auto"/>
                    <w:right w:val="single" w:sz="8" w:space="0" w:color="auto"/>
                  </w:tcBorders>
                  <w:vAlign w:val="center"/>
                </w:tcPr>
                <w:p w14:paraId="263C2F2A" w14:textId="77777777" w:rsidR="00D50DFD" w:rsidRDefault="00000000">
                  <w:pPr>
                    <w:jc w:val="center"/>
                    <w:rPr>
                      <w:bCs/>
                      <w:szCs w:val="24"/>
                    </w:rPr>
                  </w:pPr>
                  <w:r>
                    <w:rPr>
                      <w:bCs/>
                      <w:szCs w:val="24"/>
                    </w:rPr>
                    <w:t>2</w:t>
                  </w:r>
                </w:p>
              </w:tc>
              <w:tc>
                <w:tcPr>
                  <w:tcW w:w="1560" w:type="dxa"/>
                  <w:tcBorders>
                    <w:top w:val="single" w:sz="8" w:space="0" w:color="auto"/>
                    <w:left w:val="single" w:sz="8" w:space="0" w:color="auto"/>
                    <w:bottom w:val="single" w:sz="8" w:space="0" w:color="auto"/>
                    <w:right w:val="single" w:sz="8" w:space="0" w:color="auto"/>
                  </w:tcBorders>
                  <w:vAlign w:val="center"/>
                </w:tcPr>
                <w:p w14:paraId="6DEA3612" w14:textId="77777777" w:rsidR="00D50DFD" w:rsidRDefault="00000000">
                  <w:pPr>
                    <w:jc w:val="center"/>
                    <w:rPr>
                      <w:bCs/>
                      <w:szCs w:val="24"/>
                    </w:rPr>
                  </w:pPr>
                  <w:r>
                    <w:rPr>
                      <w:bCs/>
                      <w:szCs w:val="24"/>
                    </w:rPr>
                    <w:t>3</w:t>
                  </w:r>
                </w:p>
              </w:tc>
              <w:tc>
                <w:tcPr>
                  <w:tcW w:w="1559" w:type="dxa"/>
                  <w:tcBorders>
                    <w:top w:val="single" w:sz="8" w:space="0" w:color="auto"/>
                    <w:left w:val="single" w:sz="8" w:space="0" w:color="auto"/>
                    <w:bottom w:val="single" w:sz="8" w:space="0" w:color="auto"/>
                    <w:right w:val="single" w:sz="8" w:space="0" w:color="auto"/>
                  </w:tcBorders>
                  <w:vAlign w:val="center"/>
                </w:tcPr>
                <w:p w14:paraId="4D294C3F" w14:textId="77777777" w:rsidR="00D50DFD" w:rsidRDefault="00000000">
                  <w:pPr>
                    <w:jc w:val="center"/>
                    <w:rPr>
                      <w:bCs/>
                      <w:szCs w:val="24"/>
                    </w:rPr>
                  </w:pPr>
                  <w:r>
                    <w:rPr>
                      <w:bCs/>
                      <w:szCs w:val="24"/>
                    </w:rPr>
                    <w:t>4</w:t>
                  </w:r>
                </w:p>
              </w:tc>
              <w:tc>
                <w:tcPr>
                  <w:tcW w:w="3457" w:type="dxa"/>
                  <w:tcBorders>
                    <w:top w:val="single" w:sz="8" w:space="0" w:color="auto"/>
                    <w:left w:val="single" w:sz="8" w:space="0" w:color="auto"/>
                    <w:bottom w:val="single" w:sz="8" w:space="0" w:color="auto"/>
                    <w:right w:val="single" w:sz="8" w:space="0" w:color="auto"/>
                  </w:tcBorders>
                  <w:vAlign w:val="center"/>
                </w:tcPr>
                <w:p w14:paraId="445EE288" w14:textId="77777777" w:rsidR="00D50DFD" w:rsidRDefault="00000000">
                  <w:pPr>
                    <w:jc w:val="center"/>
                    <w:rPr>
                      <w:bCs/>
                      <w:szCs w:val="24"/>
                    </w:rPr>
                  </w:pPr>
                  <w:r>
                    <w:rPr>
                      <w:bCs/>
                      <w:szCs w:val="24"/>
                    </w:rPr>
                    <w:t>5</w:t>
                  </w:r>
                </w:p>
              </w:tc>
            </w:tr>
            <w:tr w:rsidR="00D50DFD" w14:paraId="68C516DC" w14:textId="77777777">
              <w:trPr>
                <w:trHeight w:val="454"/>
              </w:trPr>
              <w:tc>
                <w:tcPr>
                  <w:tcW w:w="724" w:type="dxa"/>
                  <w:tcBorders>
                    <w:top w:val="single" w:sz="8" w:space="0" w:color="auto"/>
                    <w:left w:val="single" w:sz="8" w:space="0" w:color="auto"/>
                    <w:bottom w:val="single" w:sz="8" w:space="0" w:color="auto"/>
                    <w:right w:val="single" w:sz="8" w:space="0" w:color="auto"/>
                  </w:tcBorders>
                </w:tcPr>
                <w:p w14:paraId="3C0DDD09" w14:textId="77777777" w:rsidR="00D50DFD" w:rsidRDefault="00000000">
                  <w:pPr>
                    <w:jc w:val="center"/>
                    <w:rPr>
                      <w:szCs w:val="24"/>
                    </w:rPr>
                  </w:pPr>
                  <w:r>
                    <w:rPr>
                      <w:szCs w:val="24"/>
                    </w:rPr>
                    <w:t>10.1.</w:t>
                  </w:r>
                </w:p>
              </w:tc>
              <w:tc>
                <w:tcPr>
                  <w:tcW w:w="7084" w:type="dxa"/>
                  <w:tcBorders>
                    <w:top w:val="single" w:sz="8" w:space="0" w:color="auto"/>
                    <w:left w:val="single" w:sz="8" w:space="0" w:color="auto"/>
                    <w:bottom w:val="single" w:sz="8" w:space="0" w:color="auto"/>
                    <w:right w:val="single" w:sz="8" w:space="0" w:color="auto"/>
                  </w:tcBorders>
                  <w:shd w:val="clear" w:color="auto" w:fill="auto"/>
                </w:tcPr>
                <w:p w14:paraId="7AE581E0" w14:textId="77777777" w:rsidR="00D50DFD" w:rsidRDefault="00000000">
                  <w:pPr>
                    <w:rPr>
                      <w:szCs w:val="24"/>
                    </w:rPr>
                  </w:pPr>
                  <w:r>
                    <w:rPr>
                      <w:szCs w:val="24"/>
                    </w:rPr>
                    <w:t>Netiesioginės projekto išlaidos skaičiuojamos nuo tinkamų finansuoti tiesioginių išlaidų</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14:paraId="51B465E3" w14:textId="77777777" w:rsidR="00D50DFD" w:rsidRDefault="00000000">
                  <w:pPr>
                    <w:jc w:val="center"/>
                    <w:rPr>
                      <w:szCs w:val="24"/>
                    </w:rPr>
                  </w:pPr>
                  <w:r>
                    <w:rPr>
                      <w:szCs w:val="24"/>
                    </w:rPr>
                    <w:t>FN-01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0B58484" w14:textId="77777777" w:rsidR="00D50DFD" w:rsidRDefault="00000000">
                  <w:pPr>
                    <w:jc w:val="center"/>
                    <w:rPr>
                      <w:szCs w:val="24"/>
                    </w:rPr>
                  </w:pPr>
                  <w:r>
                    <w:rPr>
                      <w:szCs w:val="24"/>
                    </w:rPr>
                    <w:t>7 proc.</w:t>
                  </w:r>
                </w:p>
              </w:tc>
              <w:tc>
                <w:tcPr>
                  <w:tcW w:w="3457" w:type="dxa"/>
                  <w:tcBorders>
                    <w:top w:val="single" w:sz="8" w:space="0" w:color="auto"/>
                    <w:left w:val="single" w:sz="8" w:space="0" w:color="auto"/>
                    <w:bottom w:val="single" w:sz="8" w:space="0" w:color="auto"/>
                    <w:right w:val="single" w:sz="8" w:space="0" w:color="auto"/>
                  </w:tcBorders>
                  <w:shd w:val="clear" w:color="auto" w:fill="auto"/>
                  <w:vAlign w:val="center"/>
                </w:tcPr>
                <w:p w14:paraId="1EA987A2" w14:textId="77777777" w:rsidR="00D50DFD" w:rsidRDefault="00000000">
                  <w:pPr>
                    <w:jc w:val="center"/>
                    <w:rPr>
                      <w:szCs w:val="24"/>
                    </w:rPr>
                  </w:pPr>
                  <w:r>
                    <w:rPr>
                      <w:szCs w:val="24"/>
                    </w:rPr>
                    <w:t>Iki 7 proc. fiksuotoji norma</w:t>
                  </w:r>
                </w:p>
              </w:tc>
            </w:tr>
            <w:tr w:rsidR="00D50DFD" w14:paraId="497BB900" w14:textId="77777777">
              <w:trPr>
                <w:trHeight w:val="882"/>
              </w:trPr>
              <w:tc>
                <w:tcPr>
                  <w:tcW w:w="724" w:type="dxa"/>
                  <w:tcBorders>
                    <w:top w:val="single" w:sz="8" w:space="0" w:color="auto"/>
                    <w:left w:val="single" w:sz="8" w:space="0" w:color="auto"/>
                    <w:bottom w:val="single" w:sz="8" w:space="0" w:color="auto"/>
                    <w:right w:val="single" w:sz="8" w:space="0" w:color="auto"/>
                  </w:tcBorders>
                </w:tcPr>
                <w:p w14:paraId="6C0ADAEC" w14:textId="77777777" w:rsidR="00D50DFD" w:rsidRDefault="00000000">
                  <w:pPr>
                    <w:jc w:val="center"/>
                    <w:rPr>
                      <w:i/>
                      <w:iCs/>
                      <w:szCs w:val="24"/>
                    </w:rPr>
                  </w:pPr>
                  <w:r>
                    <w:rPr>
                      <w:color w:val="000000"/>
                      <w:szCs w:val="24"/>
                    </w:rPr>
                    <w:lastRenderedPageBreak/>
                    <w:t>10.2.</w:t>
                  </w:r>
                </w:p>
              </w:tc>
              <w:tc>
                <w:tcPr>
                  <w:tcW w:w="7084" w:type="dxa"/>
                  <w:vMerge w:val="restart"/>
                  <w:tcBorders>
                    <w:top w:val="single" w:sz="8" w:space="0" w:color="auto"/>
                    <w:left w:val="single" w:sz="8" w:space="0" w:color="auto"/>
                    <w:right w:val="single" w:sz="8" w:space="0" w:color="auto"/>
                  </w:tcBorders>
                </w:tcPr>
                <w:p w14:paraId="777D8A3D" w14:textId="77777777" w:rsidR="00D50DFD" w:rsidRDefault="00000000">
                  <w:pPr>
                    <w:rPr>
                      <w:szCs w:val="24"/>
                    </w:rPr>
                  </w:pPr>
                  <w:r>
                    <w:rPr>
                      <w:szCs w:val="24"/>
                    </w:rPr>
                    <w:t>Fiksuotąją sumą sudaro visų pirmojo privalomų matomumo ir informavimo priemonių rinkinio išlaidos, kai:</w:t>
                  </w:r>
                </w:p>
                <w:p w14:paraId="262D45C4" w14:textId="77777777" w:rsidR="00D50DFD" w:rsidRDefault="00000000">
                  <w:pPr>
                    <w:rPr>
                      <w:szCs w:val="24"/>
                    </w:rPr>
                  </w:pPr>
                  <w:r>
                    <w:rPr>
                      <w:szCs w:val="24"/>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1DA3091" w14:textId="77777777" w:rsidR="00D50DFD" w:rsidRDefault="00000000">
                  <w:pPr>
                    <w:rPr>
                      <w:szCs w:val="24"/>
                    </w:rPr>
                  </w:pPr>
                  <w:r>
                    <w:rPr>
                      <w:szCs w:val="24"/>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A8605A4" w14:textId="77777777" w:rsidR="00D50DFD" w:rsidRDefault="00000000">
                  <w:r>
                    <w:rPr>
                      <w:szCs w:val="24"/>
                    </w:rPr>
                    <w:t>c) visuomenei arba dalyviams skirtuose dokumentuose ir komunikacijos medžiagoje, susijusioje su veiksmo įgyvendinimu, gerai matomai pateiktas pareiškimas, kuriame akcentuojama gaunama ES parama;</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14:paraId="22932BB0" w14:textId="77777777" w:rsidR="00D50DFD" w:rsidRDefault="00000000">
                  <w:pPr>
                    <w:jc w:val="center"/>
                    <w:rPr>
                      <w:szCs w:val="24"/>
                    </w:rPr>
                  </w:pPr>
                  <w:r>
                    <w:rPr>
                      <w:color w:val="000000"/>
                      <w:szCs w:val="24"/>
                    </w:rPr>
                    <w:t>FS-01-01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2FFC0E1" w14:textId="6EA929B4" w:rsidR="00D50DFD" w:rsidRDefault="002A166E">
                  <w:pPr>
                    <w:jc w:val="center"/>
                    <w:rPr>
                      <w:szCs w:val="24"/>
                    </w:rPr>
                  </w:pPr>
                  <w:r>
                    <w:rPr>
                      <w:color w:val="000000"/>
                      <w:szCs w:val="24"/>
                    </w:rPr>
                    <w:t>20,33 Eur</w:t>
                  </w:r>
                </w:p>
              </w:tc>
              <w:tc>
                <w:tcPr>
                  <w:tcW w:w="3457" w:type="dxa"/>
                  <w:tcBorders>
                    <w:top w:val="single" w:sz="8" w:space="0" w:color="auto"/>
                    <w:left w:val="single" w:sz="8" w:space="0" w:color="auto"/>
                    <w:bottom w:val="single" w:sz="8" w:space="0" w:color="auto"/>
                    <w:right w:val="single" w:sz="8" w:space="0" w:color="auto"/>
                  </w:tcBorders>
                  <w:shd w:val="clear" w:color="auto" w:fill="auto"/>
                  <w:vAlign w:val="center"/>
                </w:tcPr>
                <w:p w14:paraId="28972539" w14:textId="77777777" w:rsidR="00D50DFD" w:rsidRDefault="00000000">
                  <w:pPr>
                    <w:jc w:val="center"/>
                    <w:rPr>
                      <w:szCs w:val="24"/>
                    </w:rPr>
                  </w:pPr>
                  <w:r>
                    <w:rPr>
                      <w:color w:val="000000"/>
                      <w:szCs w:val="24"/>
                    </w:rPr>
                    <w:t>Įgyvendintų privalomų matomumo ir informavimo priemonių apie ES fondų investicijų veiklas fiksuotoji suma, pirmojo rinkinio FS be PVM</w:t>
                  </w:r>
                </w:p>
              </w:tc>
            </w:tr>
            <w:tr w:rsidR="00D50DFD" w14:paraId="1CEBC438" w14:textId="77777777">
              <w:trPr>
                <w:trHeight w:val="895"/>
              </w:trPr>
              <w:tc>
                <w:tcPr>
                  <w:tcW w:w="724" w:type="dxa"/>
                  <w:tcBorders>
                    <w:top w:val="single" w:sz="8" w:space="0" w:color="auto"/>
                    <w:left w:val="single" w:sz="8" w:space="0" w:color="auto"/>
                    <w:bottom w:val="single" w:sz="8" w:space="0" w:color="auto"/>
                    <w:right w:val="single" w:sz="8" w:space="0" w:color="auto"/>
                  </w:tcBorders>
                </w:tcPr>
                <w:p w14:paraId="2A7515CF" w14:textId="77777777" w:rsidR="00D50DFD" w:rsidRDefault="00000000">
                  <w:pPr>
                    <w:jc w:val="center"/>
                    <w:rPr>
                      <w:i/>
                      <w:iCs/>
                      <w:szCs w:val="24"/>
                    </w:rPr>
                  </w:pPr>
                  <w:r>
                    <w:rPr>
                      <w:color w:val="000000"/>
                      <w:szCs w:val="24"/>
                    </w:rPr>
                    <w:t>10.3.</w:t>
                  </w:r>
                </w:p>
              </w:tc>
              <w:tc>
                <w:tcPr>
                  <w:tcW w:w="7084" w:type="dxa"/>
                  <w:vMerge/>
                  <w:tcBorders>
                    <w:left w:val="single" w:sz="8" w:space="0" w:color="auto"/>
                    <w:bottom w:val="single" w:sz="8" w:space="0" w:color="auto"/>
                    <w:right w:val="single" w:sz="8" w:space="0" w:color="auto"/>
                  </w:tcBorders>
                </w:tcPr>
                <w:p w14:paraId="68D273BF" w14:textId="77777777" w:rsidR="00D50DFD" w:rsidRDefault="00D50DFD">
                  <w:pPr>
                    <w:rPr>
                      <w:szCs w:val="24"/>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14:paraId="6CAF6683" w14:textId="77777777" w:rsidR="00D50DFD" w:rsidRDefault="00000000">
                  <w:pPr>
                    <w:jc w:val="center"/>
                    <w:rPr>
                      <w:szCs w:val="24"/>
                    </w:rPr>
                  </w:pPr>
                  <w:r>
                    <w:rPr>
                      <w:color w:val="000000"/>
                      <w:szCs w:val="24"/>
                    </w:rPr>
                    <w:t>FS-01-02</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FFCA0A9" w14:textId="606DC220" w:rsidR="00D50DFD" w:rsidRDefault="00000000">
                  <w:pPr>
                    <w:jc w:val="center"/>
                    <w:rPr>
                      <w:szCs w:val="24"/>
                    </w:rPr>
                  </w:pPr>
                  <w:r>
                    <w:rPr>
                      <w:color w:val="000000"/>
                      <w:szCs w:val="24"/>
                    </w:rPr>
                    <w:t>2</w:t>
                  </w:r>
                  <w:r w:rsidR="002A166E">
                    <w:rPr>
                      <w:color w:val="000000"/>
                      <w:szCs w:val="24"/>
                    </w:rPr>
                    <w:t>4</w:t>
                  </w:r>
                  <w:r>
                    <w:rPr>
                      <w:color w:val="000000"/>
                      <w:szCs w:val="24"/>
                    </w:rPr>
                    <w:t>,</w:t>
                  </w:r>
                  <w:r w:rsidR="002A166E">
                    <w:rPr>
                      <w:color w:val="000000"/>
                      <w:szCs w:val="24"/>
                    </w:rPr>
                    <w:t>6</w:t>
                  </w:r>
                  <w:r>
                    <w:rPr>
                      <w:color w:val="000000"/>
                      <w:szCs w:val="24"/>
                    </w:rPr>
                    <w:t xml:space="preserve"> Eur</w:t>
                  </w:r>
                </w:p>
              </w:tc>
              <w:tc>
                <w:tcPr>
                  <w:tcW w:w="3457" w:type="dxa"/>
                  <w:tcBorders>
                    <w:top w:val="single" w:sz="8" w:space="0" w:color="auto"/>
                    <w:left w:val="single" w:sz="8" w:space="0" w:color="auto"/>
                    <w:bottom w:val="single" w:sz="8" w:space="0" w:color="auto"/>
                    <w:right w:val="single" w:sz="8" w:space="0" w:color="auto"/>
                  </w:tcBorders>
                  <w:shd w:val="clear" w:color="auto" w:fill="auto"/>
                  <w:vAlign w:val="center"/>
                </w:tcPr>
                <w:p w14:paraId="39AC2A9E" w14:textId="77777777" w:rsidR="00D50DFD" w:rsidRDefault="00000000">
                  <w:pPr>
                    <w:jc w:val="center"/>
                    <w:rPr>
                      <w:szCs w:val="24"/>
                    </w:rPr>
                  </w:pPr>
                  <w:r>
                    <w:rPr>
                      <w:color w:val="000000"/>
                      <w:szCs w:val="24"/>
                    </w:rPr>
                    <w:t>Įgyvendintų privalomų matomumo ir informavimo priemonių apie ES fondų investicijų veiklas fiksuotoji suma, pirmojo rinkinio FS su PVM</w:t>
                  </w:r>
                </w:p>
              </w:tc>
            </w:tr>
            <w:tr w:rsidR="00D50DFD" w14:paraId="12944B9D" w14:textId="77777777">
              <w:trPr>
                <w:trHeight w:val="895"/>
              </w:trPr>
              <w:tc>
                <w:tcPr>
                  <w:tcW w:w="724" w:type="dxa"/>
                  <w:tcBorders>
                    <w:top w:val="single" w:sz="8" w:space="0" w:color="auto"/>
                    <w:left w:val="single" w:sz="8" w:space="0" w:color="auto"/>
                    <w:right w:val="single" w:sz="8" w:space="0" w:color="auto"/>
                  </w:tcBorders>
                </w:tcPr>
                <w:p w14:paraId="1BD36380" w14:textId="77777777" w:rsidR="00D50DFD" w:rsidRDefault="00000000">
                  <w:pPr>
                    <w:jc w:val="center"/>
                    <w:rPr>
                      <w:i/>
                      <w:iCs/>
                      <w:szCs w:val="24"/>
                    </w:rPr>
                  </w:pPr>
                  <w:r>
                    <w:rPr>
                      <w:szCs w:val="24"/>
                    </w:rPr>
                    <w:t>10.4.</w:t>
                  </w:r>
                </w:p>
              </w:tc>
              <w:tc>
                <w:tcPr>
                  <w:tcW w:w="7084" w:type="dxa"/>
                  <w:vMerge w:val="restart"/>
                  <w:tcBorders>
                    <w:top w:val="single" w:sz="8" w:space="0" w:color="auto"/>
                    <w:left w:val="single" w:sz="8" w:space="0" w:color="auto"/>
                    <w:right w:val="single" w:sz="8" w:space="0" w:color="auto"/>
                  </w:tcBorders>
                </w:tcPr>
                <w:p w14:paraId="179CE019" w14:textId="77777777" w:rsidR="00D50DFD" w:rsidRDefault="00000000">
                  <w:pPr>
                    <w:rPr>
                      <w:szCs w:val="24"/>
                    </w:rPr>
                  </w:pPr>
                  <w:r>
                    <w:rPr>
                      <w:szCs w:val="24"/>
                    </w:rPr>
                    <w:t>Fiksuotąją sumą sudaro visų antrojo privalomų matomumo ir informavimo priemonių rinkinio išlaidos, kai:</w:t>
                  </w:r>
                </w:p>
                <w:p w14:paraId="784DD434" w14:textId="77777777" w:rsidR="00D50DFD" w:rsidRDefault="00000000">
                  <w:pPr>
                    <w:rPr>
                      <w:szCs w:val="24"/>
                    </w:rPr>
                  </w:pPr>
                  <w:r>
                    <w:rPr>
                      <w:szCs w:val="24"/>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CD2C6C6" w14:textId="77777777" w:rsidR="00D50DFD" w:rsidRDefault="00000000">
                  <w:pPr>
                    <w:rPr>
                      <w:szCs w:val="24"/>
                    </w:rPr>
                  </w:pPr>
                  <w:r>
                    <w:rPr>
                      <w:szCs w:val="24"/>
                    </w:rPr>
                    <w:t>b) visuomenei arba dalyviams skirtuose dokumentuose ir komunikacijos medžiagoje, susijusioje su veiksmo įgyvendinimu, gerai matomai pateiktas pareiškimas, kuriame akcentuojama gaunama ES parama;</w:t>
                  </w:r>
                </w:p>
                <w:p w14:paraId="1D208BC0" w14:textId="77777777" w:rsidR="00D50DFD" w:rsidRDefault="00000000">
                  <w:r>
                    <w:rPr>
                      <w:szCs w:val="24"/>
                    </w:rPr>
                    <w:t>c) kai tik pradedami fiziškai vykdyti veiksmai, susiję su fizinėmis investicijomis, arba sumontuojama nupirkta įranga, visuomenei gerai matomoje vietoje iškabinamos ilgalaikės lentelės ar informacinės lentos su ES emblema.</w:t>
                  </w:r>
                </w:p>
              </w:tc>
              <w:tc>
                <w:tcPr>
                  <w:tcW w:w="1560" w:type="dxa"/>
                  <w:tcBorders>
                    <w:top w:val="single" w:sz="8" w:space="0" w:color="auto"/>
                    <w:left w:val="single" w:sz="8" w:space="0" w:color="auto"/>
                    <w:right w:val="single" w:sz="8" w:space="0" w:color="auto"/>
                  </w:tcBorders>
                  <w:shd w:val="clear" w:color="auto" w:fill="auto"/>
                  <w:vAlign w:val="center"/>
                </w:tcPr>
                <w:p w14:paraId="049DF4DC" w14:textId="77777777" w:rsidR="00D50DFD" w:rsidRDefault="00000000">
                  <w:pPr>
                    <w:jc w:val="center"/>
                    <w:rPr>
                      <w:szCs w:val="24"/>
                    </w:rPr>
                  </w:pPr>
                  <w:r>
                    <w:rPr>
                      <w:color w:val="000000"/>
                      <w:szCs w:val="24"/>
                    </w:rPr>
                    <w:t>FS-01-03</w:t>
                  </w:r>
                </w:p>
              </w:tc>
              <w:tc>
                <w:tcPr>
                  <w:tcW w:w="1559" w:type="dxa"/>
                  <w:tcBorders>
                    <w:top w:val="single" w:sz="8" w:space="0" w:color="auto"/>
                    <w:left w:val="single" w:sz="8" w:space="0" w:color="auto"/>
                    <w:right w:val="single" w:sz="8" w:space="0" w:color="auto"/>
                  </w:tcBorders>
                  <w:shd w:val="clear" w:color="auto" w:fill="auto"/>
                  <w:vAlign w:val="center"/>
                </w:tcPr>
                <w:p w14:paraId="3AC74090" w14:textId="075C0AD5" w:rsidR="00D50DFD" w:rsidRDefault="00000000">
                  <w:pPr>
                    <w:jc w:val="center"/>
                    <w:rPr>
                      <w:szCs w:val="24"/>
                    </w:rPr>
                  </w:pPr>
                  <w:r>
                    <w:rPr>
                      <w:szCs w:val="24"/>
                    </w:rPr>
                    <w:t>1</w:t>
                  </w:r>
                  <w:r w:rsidR="002A166E">
                    <w:rPr>
                      <w:szCs w:val="24"/>
                    </w:rPr>
                    <w:t>475</w:t>
                  </w:r>
                  <w:r>
                    <w:rPr>
                      <w:szCs w:val="24"/>
                    </w:rPr>
                    <w:t>,</w:t>
                  </w:r>
                  <w:r w:rsidR="002A166E">
                    <w:rPr>
                      <w:szCs w:val="24"/>
                    </w:rPr>
                    <w:t>4</w:t>
                  </w:r>
                  <w:r>
                    <w:rPr>
                      <w:szCs w:val="24"/>
                    </w:rPr>
                    <w:t>7 Eur</w:t>
                  </w:r>
                </w:p>
              </w:tc>
              <w:tc>
                <w:tcPr>
                  <w:tcW w:w="3457" w:type="dxa"/>
                  <w:tcBorders>
                    <w:top w:val="single" w:sz="8" w:space="0" w:color="auto"/>
                    <w:left w:val="single" w:sz="8" w:space="0" w:color="auto"/>
                    <w:right w:val="single" w:sz="8" w:space="0" w:color="auto"/>
                  </w:tcBorders>
                  <w:shd w:val="clear" w:color="auto" w:fill="auto"/>
                  <w:vAlign w:val="center"/>
                </w:tcPr>
                <w:p w14:paraId="0904A756" w14:textId="77777777" w:rsidR="00D50DFD" w:rsidRDefault="00000000">
                  <w:pPr>
                    <w:jc w:val="center"/>
                    <w:rPr>
                      <w:szCs w:val="24"/>
                    </w:rPr>
                  </w:pPr>
                  <w:r>
                    <w:rPr>
                      <w:color w:val="000000"/>
                      <w:szCs w:val="24"/>
                    </w:rPr>
                    <w:t>Įgyvendintų privalomų matomumo ir informavimo priemonių apie ES fondų investicijų veiklas fiksuotoji suma, antrojo rinkinio FS be PVM</w:t>
                  </w:r>
                </w:p>
              </w:tc>
            </w:tr>
            <w:tr w:rsidR="00D50DFD" w14:paraId="2CFE079B" w14:textId="77777777">
              <w:trPr>
                <w:trHeight w:val="882"/>
              </w:trPr>
              <w:tc>
                <w:tcPr>
                  <w:tcW w:w="724" w:type="dxa"/>
                  <w:tcBorders>
                    <w:top w:val="single" w:sz="8" w:space="0" w:color="auto"/>
                    <w:left w:val="single" w:sz="8" w:space="0" w:color="auto"/>
                    <w:bottom w:val="single" w:sz="8" w:space="0" w:color="auto"/>
                    <w:right w:val="single" w:sz="8" w:space="0" w:color="auto"/>
                  </w:tcBorders>
                </w:tcPr>
                <w:p w14:paraId="5E257071" w14:textId="77777777" w:rsidR="00D50DFD" w:rsidRDefault="00000000">
                  <w:pPr>
                    <w:jc w:val="center"/>
                    <w:rPr>
                      <w:i/>
                      <w:iCs/>
                      <w:szCs w:val="24"/>
                    </w:rPr>
                  </w:pPr>
                  <w:r>
                    <w:rPr>
                      <w:szCs w:val="24"/>
                    </w:rPr>
                    <w:t>10.5.</w:t>
                  </w:r>
                </w:p>
              </w:tc>
              <w:tc>
                <w:tcPr>
                  <w:tcW w:w="7084" w:type="dxa"/>
                  <w:vMerge/>
                  <w:tcBorders>
                    <w:left w:val="single" w:sz="8" w:space="0" w:color="auto"/>
                    <w:right w:val="single" w:sz="8" w:space="0" w:color="auto"/>
                  </w:tcBorders>
                </w:tcPr>
                <w:p w14:paraId="5D5797E9" w14:textId="77777777" w:rsidR="00D50DFD" w:rsidRDefault="00D50DFD">
                  <w:pPr>
                    <w:jc w:val="center"/>
                    <w:rPr>
                      <w:szCs w:val="24"/>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14:paraId="046B9EF7" w14:textId="77777777" w:rsidR="00D50DFD" w:rsidRDefault="00000000">
                  <w:pPr>
                    <w:jc w:val="center"/>
                    <w:rPr>
                      <w:szCs w:val="24"/>
                    </w:rPr>
                  </w:pPr>
                  <w:r>
                    <w:rPr>
                      <w:color w:val="000000"/>
                      <w:szCs w:val="24"/>
                    </w:rPr>
                    <w:t>FS-01-04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FBE0AA0" w14:textId="2C51D052" w:rsidR="00D50DFD" w:rsidRDefault="00000000">
                  <w:pPr>
                    <w:jc w:val="center"/>
                    <w:rPr>
                      <w:szCs w:val="24"/>
                    </w:rPr>
                  </w:pPr>
                  <w:r>
                    <w:rPr>
                      <w:szCs w:val="24"/>
                    </w:rPr>
                    <w:t>1</w:t>
                  </w:r>
                  <w:r w:rsidR="002A166E">
                    <w:rPr>
                      <w:szCs w:val="24"/>
                    </w:rPr>
                    <w:t>785</w:t>
                  </w:r>
                  <w:r>
                    <w:rPr>
                      <w:szCs w:val="24"/>
                    </w:rPr>
                    <w:t>,</w:t>
                  </w:r>
                  <w:r w:rsidR="002A166E">
                    <w:rPr>
                      <w:szCs w:val="24"/>
                    </w:rPr>
                    <w:t xml:space="preserve">32 </w:t>
                  </w:r>
                  <w:r>
                    <w:rPr>
                      <w:szCs w:val="24"/>
                    </w:rPr>
                    <w:t>Eur</w:t>
                  </w:r>
                </w:p>
              </w:tc>
              <w:tc>
                <w:tcPr>
                  <w:tcW w:w="3457" w:type="dxa"/>
                  <w:tcBorders>
                    <w:top w:val="single" w:sz="8" w:space="0" w:color="auto"/>
                    <w:left w:val="single" w:sz="8" w:space="0" w:color="auto"/>
                    <w:bottom w:val="single" w:sz="8" w:space="0" w:color="auto"/>
                    <w:right w:val="single" w:sz="8" w:space="0" w:color="auto"/>
                  </w:tcBorders>
                  <w:shd w:val="clear" w:color="auto" w:fill="auto"/>
                  <w:vAlign w:val="center"/>
                </w:tcPr>
                <w:p w14:paraId="28AA6C00" w14:textId="77777777" w:rsidR="00D50DFD" w:rsidRDefault="00000000">
                  <w:pPr>
                    <w:jc w:val="center"/>
                    <w:rPr>
                      <w:szCs w:val="24"/>
                    </w:rPr>
                  </w:pPr>
                  <w:r>
                    <w:rPr>
                      <w:color w:val="000000"/>
                      <w:szCs w:val="24"/>
                    </w:rPr>
                    <w:t>Įgyvendintų privalomų matomumo ir informavimo priemonių apie ES fondų investicijų veiklas fiksuotoji suma, antrojo rinkinio FS su PVM</w:t>
                  </w:r>
                </w:p>
              </w:tc>
            </w:tr>
            <w:tr w:rsidR="00D50DFD" w14:paraId="1862F9A8" w14:textId="77777777">
              <w:trPr>
                <w:trHeight w:val="882"/>
              </w:trPr>
              <w:tc>
                <w:tcPr>
                  <w:tcW w:w="724" w:type="dxa"/>
                  <w:tcBorders>
                    <w:top w:val="nil"/>
                    <w:left w:val="single" w:sz="8" w:space="0" w:color="auto"/>
                    <w:bottom w:val="single" w:sz="8" w:space="0" w:color="auto"/>
                    <w:right w:val="single" w:sz="8" w:space="0" w:color="auto"/>
                  </w:tcBorders>
                </w:tcPr>
                <w:p w14:paraId="2876835A" w14:textId="77777777" w:rsidR="00D50DFD" w:rsidRDefault="00000000">
                  <w:pPr>
                    <w:jc w:val="center"/>
                    <w:rPr>
                      <w:szCs w:val="24"/>
                    </w:rPr>
                  </w:pPr>
                  <w:r>
                    <w:rPr>
                      <w:szCs w:val="24"/>
                    </w:rPr>
                    <w:lastRenderedPageBreak/>
                    <w:t>10.6.</w:t>
                  </w:r>
                </w:p>
              </w:tc>
              <w:tc>
                <w:tcPr>
                  <w:tcW w:w="7084" w:type="dxa"/>
                  <w:vMerge w:val="restart"/>
                  <w:tcBorders>
                    <w:top w:val="nil"/>
                    <w:left w:val="nil"/>
                    <w:bottom w:val="single" w:sz="8" w:space="0" w:color="auto"/>
                    <w:right w:val="single" w:sz="8" w:space="0" w:color="auto"/>
                  </w:tcBorders>
                </w:tcPr>
                <w:p w14:paraId="6599D674" w14:textId="77777777" w:rsidR="00D50DFD" w:rsidRDefault="00000000">
                  <w:pPr>
                    <w:jc w:val="center"/>
                    <w:rPr>
                      <w:szCs w:val="24"/>
                    </w:rPr>
                  </w:pPr>
                  <w:r>
                    <w:rPr>
                      <w:szCs w:val="24"/>
                    </w:rPr>
                    <w:t>Projektą vykdančio personalo darbo užmokesčio išlaidos</w:t>
                  </w:r>
                </w:p>
                <w:p w14:paraId="59C51A46" w14:textId="77777777" w:rsidR="00D50DFD" w:rsidRDefault="00D50DFD">
                  <w:pPr>
                    <w:jc w:val="center"/>
                    <w:rPr>
                      <w:szCs w:val="24"/>
                    </w:rPr>
                  </w:pPr>
                </w:p>
              </w:tc>
              <w:tc>
                <w:tcPr>
                  <w:tcW w:w="1560" w:type="dxa"/>
                  <w:tcBorders>
                    <w:top w:val="nil"/>
                    <w:left w:val="nil"/>
                    <w:bottom w:val="single" w:sz="8" w:space="0" w:color="auto"/>
                    <w:right w:val="single" w:sz="8" w:space="0" w:color="auto"/>
                  </w:tcBorders>
                  <w:vAlign w:val="center"/>
                </w:tcPr>
                <w:p w14:paraId="798DCC1D" w14:textId="77777777" w:rsidR="00D50DFD" w:rsidRDefault="00000000">
                  <w:pPr>
                    <w:jc w:val="center"/>
                    <w:rPr>
                      <w:color w:val="000000"/>
                      <w:szCs w:val="24"/>
                    </w:rPr>
                  </w:pPr>
                  <w:r>
                    <w:rPr>
                      <w:szCs w:val="24"/>
                    </w:rPr>
                    <w:t>FĮ-21-01</w:t>
                  </w:r>
                </w:p>
              </w:tc>
              <w:tc>
                <w:tcPr>
                  <w:tcW w:w="1559" w:type="dxa"/>
                  <w:tcBorders>
                    <w:top w:val="nil"/>
                    <w:left w:val="nil"/>
                    <w:bottom w:val="single" w:sz="8" w:space="0" w:color="auto"/>
                    <w:right w:val="single" w:sz="8" w:space="0" w:color="auto"/>
                  </w:tcBorders>
                  <w:vAlign w:val="center"/>
                </w:tcPr>
                <w:p w14:paraId="4FDC68D3" w14:textId="37844C26" w:rsidR="00D50DFD" w:rsidRDefault="00000000">
                  <w:pPr>
                    <w:jc w:val="center"/>
                    <w:rPr>
                      <w:szCs w:val="24"/>
                    </w:rPr>
                  </w:pPr>
                  <w:r>
                    <w:rPr>
                      <w:szCs w:val="24"/>
                    </w:rPr>
                    <w:t>1</w:t>
                  </w:r>
                  <w:r w:rsidR="00385D88">
                    <w:rPr>
                      <w:szCs w:val="24"/>
                    </w:rPr>
                    <w:t>3</w:t>
                  </w:r>
                  <w:r>
                    <w:rPr>
                      <w:szCs w:val="24"/>
                    </w:rPr>
                    <w:t>,</w:t>
                  </w:r>
                  <w:r w:rsidR="00385D88">
                    <w:rPr>
                      <w:szCs w:val="24"/>
                    </w:rPr>
                    <w:t>7</w:t>
                  </w:r>
                  <w:r>
                    <w:rPr>
                      <w:szCs w:val="24"/>
                    </w:rPr>
                    <w:t>3 Eur</w:t>
                  </w:r>
                </w:p>
              </w:tc>
              <w:tc>
                <w:tcPr>
                  <w:tcW w:w="3457" w:type="dxa"/>
                  <w:tcBorders>
                    <w:top w:val="nil"/>
                    <w:left w:val="nil"/>
                    <w:bottom w:val="single" w:sz="8" w:space="0" w:color="auto"/>
                    <w:right w:val="single" w:sz="8" w:space="0" w:color="auto"/>
                  </w:tcBorders>
                  <w:vAlign w:val="center"/>
                </w:tcPr>
                <w:p w14:paraId="55AE3CE5" w14:textId="77777777" w:rsidR="00D50DFD" w:rsidRDefault="00000000">
                  <w:pPr>
                    <w:jc w:val="center"/>
                    <w:rPr>
                      <w:color w:val="000000"/>
                      <w:szCs w:val="24"/>
                    </w:rPr>
                  </w:pPr>
                  <w:r>
                    <w:rPr>
                      <w:szCs w:val="24"/>
                    </w:rPr>
                    <w:t>Viešųjų juridinių asmenų projektą vykdančio personalo vienos valandos darbo užmokesčio fiksuotasis vieneto įkainis A, E, G, H, L, N, P, R, S ekonomikos sektoriams pagal EVRK 2 klasifikatorių</w:t>
                  </w:r>
                  <w:r>
                    <w:rPr>
                      <w:szCs w:val="24"/>
                      <w:vertAlign w:val="superscript"/>
                    </w:rPr>
                    <w:t>1</w:t>
                  </w:r>
                  <w:r>
                    <w:rPr>
                      <w:szCs w:val="24"/>
                    </w:rPr>
                    <w:t>;</w:t>
                  </w:r>
                </w:p>
              </w:tc>
            </w:tr>
            <w:tr w:rsidR="00D50DFD" w14:paraId="0131ED70" w14:textId="77777777">
              <w:trPr>
                <w:trHeight w:val="882"/>
              </w:trPr>
              <w:tc>
                <w:tcPr>
                  <w:tcW w:w="724" w:type="dxa"/>
                  <w:tcBorders>
                    <w:top w:val="nil"/>
                    <w:left w:val="single" w:sz="8" w:space="0" w:color="auto"/>
                    <w:bottom w:val="single" w:sz="8" w:space="0" w:color="auto"/>
                    <w:right w:val="single" w:sz="8" w:space="0" w:color="auto"/>
                  </w:tcBorders>
                </w:tcPr>
                <w:p w14:paraId="28105B0E" w14:textId="77777777" w:rsidR="00D50DFD" w:rsidRDefault="00000000">
                  <w:pPr>
                    <w:jc w:val="center"/>
                    <w:rPr>
                      <w:szCs w:val="24"/>
                    </w:rPr>
                  </w:pPr>
                  <w:r>
                    <w:rPr>
                      <w:szCs w:val="24"/>
                    </w:rPr>
                    <w:t>10.7.</w:t>
                  </w:r>
                </w:p>
              </w:tc>
              <w:tc>
                <w:tcPr>
                  <w:tcW w:w="7084" w:type="dxa"/>
                  <w:vMerge/>
                  <w:tcBorders>
                    <w:top w:val="nil"/>
                    <w:left w:val="nil"/>
                    <w:bottom w:val="single" w:sz="8" w:space="0" w:color="auto"/>
                    <w:right w:val="single" w:sz="8" w:space="0" w:color="auto"/>
                  </w:tcBorders>
                  <w:vAlign w:val="center"/>
                </w:tcPr>
                <w:p w14:paraId="1681E455" w14:textId="77777777" w:rsidR="00D50DFD" w:rsidRDefault="00D50DFD">
                  <w:pPr>
                    <w:jc w:val="center"/>
                    <w:rPr>
                      <w:szCs w:val="24"/>
                    </w:rPr>
                  </w:pPr>
                </w:p>
              </w:tc>
              <w:tc>
                <w:tcPr>
                  <w:tcW w:w="1560" w:type="dxa"/>
                  <w:tcBorders>
                    <w:top w:val="nil"/>
                    <w:left w:val="nil"/>
                    <w:bottom w:val="single" w:sz="8" w:space="0" w:color="auto"/>
                    <w:right w:val="single" w:sz="8" w:space="0" w:color="auto"/>
                  </w:tcBorders>
                  <w:vAlign w:val="center"/>
                </w:tcPr>
                <w:p w14:paraId="102145DB" w14:textId="77777777" w:rsidR="00D50DFD" w:rsidRDefault="00000000">
                  <w:pPr>
                    <w:jc w:val="center"/>
                    <w:rPr>
                      <w:color w:val="000000"/>
                      <w:szCs w:val="24"/>
                    </w:rPr>
                  </w:pPr>
                  <w:r>
                    <w:rPr>
                      <w:szCs w:val="24"/>
                    </w:rPr>
                    <w:t>FĮ-21-02</w:t>
                  </w:r>
                </w:p>
              </w:tc>
              <w:tc>
                <w:tcPr>
                  <w:tcW w:w="1559" w:type="dxa"/>
                  <w:tcBorders>
                    <w:top w:val="nil"/>
                    <w:left w:val="nil"/>
                    <w:bottom w:val="single" w:sz="8" w:space="0" w:color="auto"/>
                    <w:right w:val="single" w:sz="8" w:space="0" w:color="auto"/>
                  </w:tcBorders>
                  <w:vAlign w:val="center"/>
                </w:tcPr>
                <w:p w14:paraId="6781A624" w14:textId="54FD5AAD" w:rsidR="00D50DFD" w:rsidRDefault="00000000">
                  <w:pPr>
                    <w:jc w:val="center"/>
                    <w:rPr>
                      <w:szCs w:val="24"/>
                    </w:rPr>
                  </w:pPr>
                  <w:r>
                    <w:rPr>
                      <w:szCs w:val="24"/>
                    </w:rPr>
                    <w:t>1</w:t>
                  </w:r>
                  <w:r w:rsidR="00385D88">
                    <w:rPr>
                      <w:szCs w:val="24"/>
                    </w:rPr>
                    <w:t>7</w:t>
                  </w:r>
                  <w:r>
                    <w:rPr>
                      <w:szCs w:val="24"/>
                    </w:rPr>
                    <w:t>,3</w:t>
                  </w:r>
                  <w:r w:rsidR="00385D88">
                    <w:rPr>
                      <w:szCs w:val="24"/>
                    </w:rPr>
                    <w:t>4</w:t>
                  </w:r>
                  <w:r>
                    <w:rPr>
                      <w:szCs w:val="24"/>
                    </w:rPr>
                    <w:t xml:space="preserve"> Eur </w:t>
                  </w:r>
                  <w:r>
                    <w:rPr>
                      <w:i/>
                      <w:iCs/>
                      <w:szCs w:val="24"/>
                    </w:rPr>
                    <w:t>-</w:t>
                  </w:r>
                </w:p>
              </w:tc>
              <w:tc>
                <w:tcPr>
                  <w:tcW w:w="3457" w:type="dxa"/>
                  <w:tcBorders>
                    <w:top w:val="nil"/>
                    <w:left w:val="nil"/>
                    <w:bottom w:val="single" w:sz="8" w:space="0" w:color="auto"/>
                    <w:right w:val="single" w:sz="8" w:space="0" w:color="auto"/>
                  </w:tcBorders>
                  <w:vAlign w:val="center"/>
                </w:tcPr>
                <w:p w14:paraId="73CFAD22" w14:textId="77777777" w:rsidR="00D50DFD" w:rsidRDefault="00000000">
                  <w:pPr>
                    <w:jc w:val="center"/>
                    <w:rPr>
                      <w:color w:val="000000"/>
                      <w:szCs w:val="24"/>
                    </w:rPr>
                  </w:pPr>
                  <w:r>
                    <w:rPr>
                      <w:szCs w:val="24"/>
                    </w:rPr>
                    <w:t>Viešųjų juridinių asmenų projektą vykdančio personalo vienos valandos darbo užmokesčio fiksuotasis vieneto įkainis C, D, F, M, O, Q ekonomikos sektoriams pagal EVRK 2 klasifikatorių</w:t>
                  </w:r>
                  <w:r>
                    <w:rPr>
                      <w:szCs w:val="24"/>
                      <w:vertAlign w:val="superscript"/>
                    </w:rPr>
                    <w:t>1</w:t>
                  </w:r>
                  <w:r>
                    <w:rPr>
                      <w:szCs w:val="24"/>
                    </w:rPr>
                    <w:t>;</w:t>
                  </w:r>
                </w:p>
              </w:tc>
            </w:tr>
            <w:tr w:rsidR="00D50DFD" w14:paraId="7D793F9A" w14:textId="77777777">
              <w:trPr>
                <w:trHeight w:val="882"/>
              </w:trPr>
              <w:tc>
                <w:tcPr>
                  <w:tcW w:w="724" w:type="dxa"/>
                  <w:tcBorders>
                    <w:top w:val="nil"/>
                    <w:left w:val="single" w:sz="8" w:space="0" w:color="auto"/>
                    <w:bottom w:val="single" w:sz="8" w:space="0" w:color="auto"/>
                    <w:right w:val="single" w:sz="8" w:space="0" w:color="auto"/>
                  </w:tcBorders>
                </w:tcPr>
                <w:p w14:paraId="736E8D5E" w14:textId="77777777" w:rsidR="00D50DFD" w:rsidRDefault="00000000">
                  <w:pPr>
                    <w:jc w:val="center"/>
                    <w:rPr>
                      <w:szCs w:val="24"/>
                    </w:rPr>
                  </w:pPr>
                  <w:r>
                    <w:rPr>
                      <w:szCs w:val="24"/>
                    </w:rPr>
                    <w:t>10.8.</w:t>
                  </w:r>
                </w:p>
              </w:tc>
              <w:tc>
                <w:tcPr>
                  <w:tcW w:w="7084" w:type="dxa"/>
                  <w:vMerge/>
                  <w:tcBorders>
                    <w:top w:val="nil"/>
                    <w:left w:val="nil"/>
                    <w:bottom w:val="single" w:sz="8" w:space="0" w:color="auto"/>
                    <w:right w:val="single" w:sz="8" w:space="0" w:color="auto"/>
                  </w:tcBorders>
                  <w:vAlign w:val="center"/>
                </w:tcPr>
                <w:p w14:paraId="73324B61" w14:textId="77777777" w:rsidR="00D50DFD" w:rsidRDefault="00D50DFD">
                  <w:pPr>
                    <w:jc w:val="center"/>
                    <w:rPr>
                      <w:szCs w:val="24"/>
                    </w:rPr>
                  </w:pPr>
                </w:p>
              </w:tc>
              <w:tc>
                <w:tcPr>
                  <w:tcW w:w="1560" w:type="dxa"/>
                  <w:tcBorders>
                    <w:top w:val="nil"/>
                    <w:left w:val="nil"/>
                    <w:bottom w:val="single" w:sz="8" w:space="0" w:color="auto"/>
                    <w:right w:val="single" w:sz="8" w:space="0" w:color="auto"/>
                  </w:tcBorders>
                  <w:vAlign w:val="center"/>
                </w:tcPr>
                <w:p w14:paraId="6B82B3C2" w14:textId="77777777" w:rsidR="00D50DFD" w:rsidRDefault="00000000">
                  <w:pPr>
                    <w:jc w:val="center"/>
                    <w:rPr>
                      <w:szCs w:val="24"/>
                    </w:rPr>
                  </w:pPr>
                  <w:r>
                    <w:rPr>
                      <w:szCs w:val="24"/>
                    </w:rPr>
                    <w:t>FĮ-21-03</w:t>
                  </w:r>
                </w:p>
              </w:tc>
              <w:tc>
                <w:tcPr>
                  <w:tcW w:w="1559" w:type="dxa"/>
                  <w:tcBorders>
                    <w:top w:val="nil"/>
                    <w:left w:val="nil"/>
                    <w:bottom w:val="single" w:sz="8" w:space="0" w:color="auto"/>
                    <w:right w:val="single" w:sz="8" w:space="0" w:color="auto"/>
                  </w:tcBorders>
                  <w:vAlign w:val="center"/>
                </w:tcPr>
                <w:p w14:paraId="10370C7F" w14:textId="2F33371D" w:rsidR="00D50DFD" w:rsidRDefault="00385D88">
                  <w:pPr>
                    <w:jc w:val="center"/>
                    <w:rPr>
                      <w:szCs w:val="24"/>
                    </w:rPr>
                  </w:pPr>
                  <w:r>
                    <w:rPr>
                      <w:szCs w:val="24"/>
                    </w:rPr>
                    <w:t>23,92 Eur</w:t>
                  </w:r>
                </w:p>
              </w:tc>
              <w:tc>
                <w:tcPr>
                  <w:tcW w:w="3457" w:type="dxa"/>
                  <w:tcBorders>
                    <w:top w:val="nil"/>
                    <w:left w:val="nil"/>
                    <w:bottom w:val="single" w:sz="8" w:space="0" w:color="auto"/>
                    <w:right w:val="single" w:sz="8" w:space="0" w:color="auto"/>
                  </w:tcBorders>
                  <w:vAlign w:val="center"/>
                </w:tcPr>
                <w:p w14:paraId="2AE710B8" w14:textId="77777777" w:rsidR="00D50DFD" w:rsidRDefault="00000000">
                  <w:pPr>
                    <w:jc w:val="center"/>
                    <w:rPr>
                      <w:color w:val="000000"/>
                      <w:szCs w:val="24"/>
                    </w:rPr>
                  </w:pPr>
                  <w:r>
                    <w:rPr>
                      <w:szCs w:val="24"/>
                    </w:rPr>
                    <w:t>Viešųjų juridinių asmenų projektą vykdančio personalo vienos valandos darbo užmokesčio fiksuotasis vieneto įkainis J ir K ekonomikos sektoriams pagal EVRK 2 klasifikatorių</w:t>
                  </w:r>
                  <w:r>
                    <w:rPr>
                      <w:szCs w:val="24"/>
                      <w:vertAlign w:val="superscript"/>
                    </w:rPr>
                    <w:t>1</w:t>
                  </w:r>
                  <w:r>
                    <w:rPr>
                      <w:szCs w:val="24"/>
                    </w:rPr>
                    <w:t>.</w:t>
                  </w:r>
                </w:p>
              </w:tc>
            </w:tr>
          </w:tbl>
          <w:p w14:paraId="2F89F234" w14:textId="77777777" w:rsidR="00D50DFD" w:rsidRDefault="00D50DFD">
            <w:pPr>
              <w:jc w:val="both"/>
              <w:rPr>
                <w:i/>
                <w:iCs/>
                <w:szCs w:val="24"/>
              </w:rPr>
            </w:pPr>
          </w:p>
        </w:tc>
      </w:tr>
    </w:tbl>
    <w:p w14:paraId="39D43ACC" w14:textId="77777777" w:rsidR="00D50DFD" w:rsidRDefault="00D50DFD">
      <w:pPr>
        <w:rPr>
          <w:szCs w:val="24"/>
        </w:rPr>
      </w:pPr>
    </w:p>
    <w:p w14:paraId="1DE07BDA" w14:textId="77777777" w:rsidR="00D50DFD" w:rsidRDefault="00000000">
      <w:pPr>
        <w:spacing w:line="276" w:lineRule="auto"/>
        <w:jc w:val="center"/>
        <w:rPr>
          <w:rFonts w:ascii="Calibri" w:eastAsia="Calibri" w:hAnsi="Calibri"/>
          <w:szCs w:val="24"/>
        </w:rPr>
      </w:pPr>
      <w:r>
        <w:rPr>
          <w:rFonts w:ascii="Calibri" w:eastAsia="Calibri" w:hAnsi="Calibri"/>
          <w:szCs w:val="24"/>
        </w:rPr>
        <w:t>________________________________</w:t>
      </w:r>
    </w:p>
    <w:p w14:paraId="6BFDB183" w14:textId="77777777" w:rsidR="00D50DFD" w:rsidRDefault="00D50DFD"/>
    <w:p w14:paraId="7E8FE546" w14:textId="77777777" w:rsidR="00D50DFD" w:rsidRDefault="00D50DFD">
      <w:pPr>
        <w:jc w:val="both"/>
        <w:rPr>
          <w:rFonts w:ascii="Arial" w:hAnsi="Arial"/>
          <w:b/>
          <w:sz w:val="20"/>
        </w:rPr>
      </w:pPr>
    </w:p>
    <w:p w14:paraId="459BDD3C" w14:textId="77777777" w:rsidR="00D50DFD" w:rsidRDefault="00D50DFD">
      <w:pPr>
        <w:jc w:val="both"/>
        <w:rPr>
          <w:rFonts w:ascii="Arial" w:hAnsi="Arial"/>
          <w:sz w:val="20"/>
        </w:rPr>
      </w:pPr>
    </w:p>
    <w:p w14:paraId="0783213D" w14:textId="77777777" w:rsidR="00D50DFD" w:rsidRDefault="00D50DFD">
      <w:pPr>
        <w:widowControl w:val="0"/>
        <w:rPr>
          <w:rFonts w:ascii="Arial" w:hAnsi="Arial"/>
          <w:snapToGrid w:val="0"/>
        </w:rPr>
      </w:pPr>
    </w:p>
    <w:sectPr w:rsidR="00D50DFD">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289A" w14:textId="77777777" w:rsidR="00110449" w:rsidRDefault="00110449">
      <w:pPr>
        <w:rPr>
          <w:sz w:val="22"/>
          <w:szCs w:val="22"/>
        </w:rPr>
      </w:pPr>
      <w:r>
        <w:rPr>
          <w:sz w:val="22"/>
          <w:szCs w:val="22"/>
        </w:rPr>
        <w:separator/>
      </w:r>
    </w:p>
  </w:endnote>
  <w:endnote w:type="continuationSeparator" w:id="0">
    <w:p w14:paraId="3F71B1C8" w14:textId="77777777" w:rsidR="00110449" w:rsidRDefault="00110449">
      <w:pPr>
        <w:rPr>
          <w:sz w:val="22"/>
          <w:szCs w:val="22"/>
        </w:rPr>
      </w:pPr>
      <w:r>
        <w:rPr>
          <w:sz w:val="22"/>
          <w:szCs w:val="22"/>
        </w:rPr>
        <w:continuationSeparator/>
      </w:r>
    </w:p>
  </w:endnote>
  <w:endnote w:type="continuationNotice" w:id="1">
    <w:p w14:paraId="22A8C9DF" w14:textId="77777777" w:rsidR="00110449" w:rsidRDefault="0011044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2A71" w14:textId="77777777" w:rsidR="00D50DFD" w:rsidRDefault="00D50DF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8EDF" w14:textId="77777777" w:rsidR="00D50DFD" w:rsidRDefault="00D50DF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335F" w14:textId="77777777" w:rsidR="00D50DFD" w:rsidRDefault="00D50DFD">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250B" w14:textId="77777777" w:rsidR="00D50DFD" w:rsidRDefault="00D50DFD">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4506" w14:textId="77777777" w:rsidR="00D50DFD" w:rsidRDefault="00D50DFD">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2929" w14:textId="77777777" w:rsidR="00D50DFD" w:rsidRDefault="00D50DF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D01D" w14:textId="77777777" w:rsidR="00110449" w:rsidRDefault="00110449">
      <w:pPr>
        <w:rPr>
          <w:sz w:val="22"/>
          <w:szCs w:val="22"/>
        </w:rPr>
      </w:pPr>
      <w:r>
        <w:rPr>
          <w:sz w:val="22"/>
          <w:szCs w:val="22"/>
        </w:rPr>
        <w:separator/>
      </w:r>
    </w:p>
  </w:footnote>
  <w:footnote w:type="continuationSeparator" w:id="0">
    <w:p w14:paraId="619F0DD8" w14:textId="77777777" w:rsidR="00110449" w:rsidRDefault="00110449">
      <w:pPr>
        <w:rPr>
          <w:sz w:val="22"/>
          <w:szCs w:val="22"/>
        </w:rPr>
      </w:pPr>
      <w:r>
        <w:rPr>
          <w:sz w:val="22"/>
          <w:szCs w:val="22"/>
        </w:rPr>
        <w:continuationSeparator/>
      </w:r>
    </w:p>
  </w:footnote>
  <w:footnote w:type="continuationNotice" w:id="1">
    <w:p w14:paraId="76393667" w14:textId="77777777" w:rsidR="00110449" w:rsidRDefault="0011044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73E5" w14:textId="77777777" w:rsidR="00D50DFD" w:rsidRDefault="00D50DF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2164" w14:textId="77777777" w:rsidR="00D50DFD" w:rsidRDefault="0000000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10</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6639" w14:textId="47433E8B" w:rsidR="00D50DFD" w:rsidRPr="007C555A" w:rsidRDefault="007C555A" w:rsidP="007C555A">
    <w:pPr>
      <w:tabs>
        <w:tab w:val="center" w:pos="4986"/>
        <w:tab w:val="right" w:pos="9972"/>
      </w:tabs>
      <w:jc w:val="right"/>
      <w:rPr>
        <w:b/>
        <w:bCs/>
      </w:rPr>
    </w:pPr>
    <w:r w:rsidRPr="007C555A">
      <w:rPr>
        <w:b/>
        <w:bCs/>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FB1E" w14:textId="77777777" w:rsidR="00D50DFD" w:rsidRDefault="00D50DFD">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887B" w14:textId="77777777" w:rsidR="00D50DFD" w:rsidRDefault="0000000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14</w:t>
    </w:r>
    <w:r>
      <w:rPr>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6FD6" w14:textId="77777777" w:rsidR="00D50DFD" w:rsidRDefault="00D50DF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3149"/>
    <w:multiLevelType w:val="multilevel"/>
    <w:tmpl w:val="DAEE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2333D"/>
    <w:multiLevelType w:val="hybridMultilevel"/>
    <w:tmpl w:val="9528C8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5C028C"/>
    <w:multiLevelType w:val="hybridMultilevel"/>
    <w:tmpl w:val="75967A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869812">
    <w:abstractNumId w:val="1"/>
  </w:num>
  <w:num w:numId="2" w16cid:durableId="288248947">
    <w:abstractNumId w:val="2"/>
  </w:num>
  <w:num w:numId="3" w16cid:durableId="52837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4897"/>
    <w:rsid w:val="00067E05"/>
    <w:rsid w:val="00097763"/>
    <w:rsid w:val="000D1417"/>
    <w:rsid w:val="00110449"/>
    <w:rsid w:val="00177961"/>
    <w:rsid w:val="00234CF7"/>
    <w:rsid w:val="002755DA"/>
    <w:rsid w:val="002A166E"/>
    <w:rsid w:val="002B6717"/>
    <w:rsid w:val="002F6019"/>
    <w:rsid w:val="00385D88"/>
    <w:rsid w:val="004B2DC1"/>
    <w:rsid w:val="004E4D56"/>
    <w:rsid w:val="00553110"/>
    <w:rsid w:val="005B665A"/>
    <w:rsid w:val="005F5FED"/>
    <w:rsid w:val="0065300B"/>
    <w:rsid w:val="00663196"/>
    <w:rsid w:val="00671CB1"/>
    <w:rsid w:val="00684861"/>
    <w:rsid w:val="006A67E1"/>
    <w:rsid w:val="0072720D"/>
    <w:rsid w:val="00775C72"/>
    <w:rsid w:val="007C555A"/>
    <w:rsid w:val="008A0448"/>
    <w:rsid w:val="008C2964"/>
    <w:rsid w:val="009B7759"/>
    <w:rsid w:val="00A361B0"/>
    <w:rsid w:val="00AB2A5C"/>
    <w:rsid w:val="00B026FE"/>
    <w:rsid w:val="00B635DE"/>
    <w:rsid w:val="00CA18BA"/>
    <w:rsid w:val="00D408DE"/>
    <w:rsid w:val="00D4119C"/>
    <w:rsid w:val="00D42D7C"/>
    <w:rsid w:val="00D50DFD"/>
    <w:rsid w:val="00DD27DD"/>
    <w:rsid w:val="00EF5678"/>
    <w:rsid w:val="00F47F5A"/>
    <w:rsid w:val="00FA39D1"/>
    <w:rsid w:val="00FC2C6E"/>
    <w:rsid w:val="00FE2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7FD2F"/>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72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750">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09869890">
      <w:bodyDiv w:val="1"/>
      <w:marLeft w:val="0"/>
      <w:marRight w:val="0"/>
      <w:marTop w:val="0"/>
      <w:marBottom w:val="0"/>
      <w:divBdr>
        <w:top w:val="none" w:sz="0" w:space="0" w:color="auto"/>
        <w:left w:val="none" w:sz="0" w:space="0" w:color="auto"/>
        <w:bottom w:val="none" w:sz="0" w:space="0" w:color="auto"/>
        <w:right w:val="none" w:sz="0" w:space="0" w:color="auto"/>
      </w:divBdr>
    </w:div>
    <w:div w:id="366106072">
      <w:bodyDiv w:val="1"/>
      <w:marLeft w:val="0"/>
      <w:marRight w:val="0"/>
      <w:marTop w:val="0"/>
      <w:marBottom w:val="0"/>
      <w:divBdr>
        <w:top w:val="none" w:sz="0" w:space="0" w:color="auto"/>
        <w:left w:val="none" w:sz="0" w:space="0" w:color="auto"/>
        <w:bottom w:val="none" w:sz="0" w:space="0" w:color="auto"/>
        <w:right w:val="none" w:sz="0" w:space="0" w:color="auto"/>
      </w:divBdr>
      <w:divsChild>
        <w:div w:id="12999583">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59190074">
      <w:bodyDiv w:val="1"/>
      <w:marLeft w:val="0"/>
      <w:marRight w:val="0"/>
      <w:marTop w:val="0"/>
      <w:marBottom w:val="0"/>
      <w:divBdr>
        <w:top w:val="none" w:sz="0" w:space="0" w:color="auto"/>
        <w:left w:val="none" w:sz="0" w:space="0" w:color="auto"/>
        <w:bottom w:val="none" w:sz="0" w:space="0" w:color="auto"/>
        <w:right w:val="none" w:sz="0" w:space="0" w:color="auto"/>
      </w:divBdr>
    </w:div>
    <w:div w:id="1072389171">
      <w:bodyDiv w:val="1"/>
      <w:marLeft w:val="0"/>
      <w:marRight w:val="0"/>
      <w:marTop w:val="0"/>
      <w:marBottom w:val="0"/>
      <w:divBdr>
        <w:top w:val="none" w:sz="0" w:space="0" w:color="auto"/>
        <w:left w:val="none" w:sz="0" w:space="0" w:color="auto"/>
        <w:bottom w:val="none" w:sz="0" w:space="0" w:color="auto"/>
        <w:right w:val="none" w:sz="0" w:space="0" w:color="auto"/>
      </w:divBdr>
    </w:div>
    <w:div w:id="1222867690">
      <w:bodyDiv w:val="1"/>
      <w:marLeft w:val="0"/>
      <w:marRight w:val="0"/>
      <w:marTop w:val="0"/>
      <w:marBottom w:val="0"/>
      <w:divBdr>
        <w:top w:val="none" w:sz="0" w:space="0" w:color="auto"/>
        <w:left w:val="none" w:sz="0" w:space="0" w:color="auto"/>
        <w:bottom w:val="none" w:sz="0" w:space="0" w:color="auto"/>
        <w:right w:val="none" w:sz="0" w:space="0" w:color="auto"/>
      </w:divBdr>
    </w:div>
    <w:div w:id="144241325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3772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Nr_x002e_ xmlns="81bdba5e-b18c-4c8c-b425-bdf6d075d995" xmlns:xsi="http://www.w3.org/2001/XMLSchema-instance" xsi:nil="true"/>
  </documentManagement>
</p:properties>
</file>

<file path=customXml/item3.xml><?xml version="1.0" encoding="utf-8"?>
<b:Sources xmlns:b="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81bdba5e-b18c-4c8c-b425-bdf6d075d995"/>
    <ds:schemaRef ds:uri="db96e512-6920-4eea-b1bf-b81a54d2aa3c"/>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81bdba5e-b18c-4c8c-b425-bdf6d075d995"/>
  </ds:schemaRefs>
</ds:datastoreItem>
</file>

<file path=customXml/itemProps3.xml><?xml version="1.0" encoding="utf-8"?>
<ds:datastoreItem xmlns:ds="http://schemas.openxmlformats.org/officeDocument/2006/customXml" ds:itemID="{AD588C64-2C04-4BA9-B9AA-CED6B354B244}">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13</Pages>
  <Words>3714</Words>
  <Characters>21174</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24839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Darius Krištonaitis</cp:lastModifiedBy>
  <cp:revision>7</cp:revision>
  <cp:lastPrinted>2023-11-13T10:29:00Z</cp:lastPrinted>
  <dcterms:created xsi:type="dcterms:W3CDTF">2026-01-26T14:40:00Z</dcterms:created>
  <dcterms:modified xsi:type="dcterms:W3CDTF">2026-02-17T13:39:00Z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