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D221" w14:textId="62A6142C" w:rsidR="00E35308" w:rsidRPr="009F3267" w:rsidRDefault="00E35308" w:rsidP="009F3267">
      <w:pPr>
        <w:jc w:val="right"/>
        <w:outlineLvl w:val="0"/>
      </w:pPr>
      <w:r w:rsidRPr="009F3267">
        <w:t>1 priedas</w:t>
      </w:r>
    </w:p>
    <w:p w14:paraId="47E203D1" w14:textId="77777777" w:rsidR="00D6197C" w:rsidRPr="009F3267" w:rsidRDefault="00D6197C" w:rsidP="009F3267">
      <w:pPr>
        <w:jc w:val="right"/>
        <w:outlineLvl w:val="0"/>
      </w:pPr>
    </w:p>
    <w:p w14:paraId="711CD6AD" w14:textId="68822A4E" w:rsidR="00694944" w:rsidRPr="009F3267" w:rsidRDefault="00694944" w:rsidP="009F3267">
      <w:pPr>
        <w:jc w:val="center"/>
        <w:outlineLvl w:val="0"/>
        <w:rPr>
          <w:b/>
          <w:bCs/>
        </w:rPr>
      </w:pPr>
      <w:r w:rsidRPr="009F3267">
        <w:rPr>
          <w:b/>
          <w:bCs/>
        </w:rPr>
        <w:t>PATEIKTŲ PASIŪLYMŲ ĮGYVENDINIMAS</w:t>
      </w:r>
    </w:p>
    <w:p w14:paraId="711CD6AE" w14:textId="77777777" w:rsidR="00694944" w:rsidRPr="009F3267" w:rsidRDefault="00694944" w:rsidP="009F3267">
      <w:pPr>
        <w:jc w:val="center"/>
        <w:rPr>
          <w:b/>
          <w:bCs/>
        </w:rPr>
      </w:pPr>
    </w:p>
    <w:p w14:paraId="692CC0F2" w14:textId="77777777" w:rsidR="0034418E" w:rsidRPr="009F3267" w:rsidRDefault="0034418E" w:rsidP="009F3267"/>
    <w:tbl>
      <w:tblPr>
        <w:tblStyle w:val="Lentelstinklelis"/>
        <w:tblW w:w="14312" w:type="dxa"/>
        <w:tblLook w:val="04A0" w:firstRow="1" w:lastRow="0" w:firstColumn="1" w:lastColumn="0" w:noHBand="0" w:noVBand="1"/>
      </w:tblPr>
      <w:tblGrid>
        <w:gridCol w:w="562"/>
        <w:gridCol w:w="5523"/>
        <w:gridCol w:w="4844"/>
        <w:gridCol w:w="3383"/>
      </w:tblGrid>
      <w:tr w:rsidR="00E3798D" w:rsidRPr="009F3267" w14:paraId="2B949321" w14:textId="77777777" w:rsidTr="00E3798D">
        <w:tc>
          <w:tcPr>
            <w:tcW w:w="562" w:type="dxa"/>
          </w:tcPr>
          <w:p w14:paraId="2237D327" w14:textId="55D0943B" w:rsidR="00E3798D" w:rsidRPr="009F3267" w:rsidRDefault="00E3798D" w:rsidP="00E3798D">
            <w:pPr>
              <w:widowControl w:val="0"/>
              <w:jc w:val="center"/>
              <w:rPr>
                <w:i/>
                <w:snapToGrid w:val="0"/>
              </w:rPr>
            </w:pPr>
            <w:r>
              <w:rPr>
                <w:i/>
                <w:snapToGrid w:val="0"/>
              </w:rPr>
              <w:t>Eil. Nr.</w:t>
            </w:r>
          </w:p>
        </w:tc>
        <w:tc>
          <w:tcPr>
            <w:tcW w:w="5523" w:type="dxa"/>
          </w:tcPr>
          <w:p w14:paraId="38335B0C" w14:textId="77777777" w:rsidR="00E3798D" w:rsidRPr="009F3267" w:rsidRDefault="00E3798D" w:rsidP="009F3267">
            <w:pPr>
              <w:widowControl w:val="0"/>
              <w:jc w:val="center"/>
              <w:rPr>
                <w:i/>
                <w:snapToGrid w:val="0"/>
              </w:rPr>
            </w:pPr>
            <w:r w:rsidRPr="009F3267">
              <w:rPr>
                <w:i/>
                <w:snapToGrid w:val="0"/>
              </w:rPr>
              <w:t>Pateiktos pastabos</w:t>
            </w:r>
          </w:p>
        </w:tc>
        <w:tc>
          <w:tcPr>
            <w:tcW w:w="4844" w:type="dxa"/>
          </w:tcPr>
          <w:p w14:paraId="52AC4B25" w14:textId="7737F15C" w:rsidR="00E3798D" w:rsidRPr="009F3267" w:rsidRDefault="00E3798D" w:rsidP="009F3267">
            <w:pPr>
              <w:widowControl w:val="0"/>
              <w:jc w:val="center"/>
              <w:rPr>
                <w:i/>
                <w:snapToGrid w:val="0"/>
              </w:rPr>
            </w:pPr>
            <w:r w:rsidRPr="009F3267">
              <w:rPr>
                <w:i/>
                <w:snapToGrid w:val="0"/>
              </w:rPr>
              <w:t>Teikiamos rekomendacijos</w:t>
            </w:r>
          </w:p>
        </w:tc>
        <w:tc>
          <w:tcPr>
            <w:tcW w:w="3383" w:type="dxa"/>
          </w:tcPr>
          <w:p w14:paraId="12B311C4" w14:textId="20F0BD70" w:rsidR="00E3798D" w:rsidRPr="009F3267" w:rsidRDefault="00E3798D" w:rsidP="009F3267">
            <w:pPr>
              <w:widowControl w:val="0"/>
              <w:jc w:val="center"/>
              <w:rPr>
                <w:bCs/>
                <w:i/>
              </w:rPr>
            </w:pPr>
            <w:r w:rsidRPr="009F3267">
              <w:rPr>
                <w:i/>
                <w:snapToGrid w:val="0"/>
              </w:rPr>
              <w:t xml:space="preserve">Duomenys apie rekomendacijų įgyvendinimą (jeigu nurodoma, kad </w:t>
            </w:r>
            <w:r w:rsidRPr="009F3267">
              <w:rPr>
                <w:b/>
                <w:bCs/>
                <w:i/>
                <w:snapToGrid w:val="0"/>
              </w:rPr>
              <w:t>atsižvelgta</w:t>
            </w:r>
            <w:r w:rsidRPr="009F3267">
              <w:rPr>
                <w:i/>
                <w:snapToGrid w:val="0"/>
              </w:rPr>
              <w:t xml:space="preserve"> – nurodomos</w:t>
            </w:r>
            <w:r w:rsidRPr="009F3267">
              <w:rPr>
                <w:b/>
                <w:i/>
              </w:rPr>
              <w:t xml:space="preserve"> </w:t>
            </w:r>
            <w:r w:rsidRPr="009F3267">
              <w:rPr>
                <w:bCs/>
                <w:i/>
              </w:rPr>
              <w:t xml:space="preserve">numatytos rekomendacijai įgyvendinti priemonės ir jų </w:t>
            </w:r>
            <w:r>
              <w:rPr>
                <w:bCs/>
                <w:i/>
              </w:rPr>
              <w:t xml:space="preserve">įgyvendinimo </w:t>
            </w:r>
            <w:r w:rsidRPr="009F3267">
              <w:rPr>
                <w:bCs/>
                <w:i/>
              </w:rPr>
              <w:t>terminai</w:t>
            </w:r>
            <w:r w:rsidR="002A445E">
              <w:rPr>
                <w:rStyle w:val="Puslapioinaosnuoroda"/>
                <w:bCs/>
                <w:i/>
              </w:rPr>
              <w:footnoteReference w:id="1"/>
            </w:r>
            <w:r w:rsidRPr="009F3267">
              <w:rPr>
                <w:bCs/>
                <w:i/>
              </w:rPr>
              <w:t>;</w:t>
            </w:r>
          </w:p>
          <w:p w14:paraId="364F4FF7" w14:textId="6B62F5D2" w:rsidR="00E3798D" w:rsidRPr="009F3267" w:rsidRDefault="00E3798D" w:rsidP="009F3267">
            <w:pPr>
              <w:widowControl w:val="0"/>
              <w:jc w:val="center"/>
              <w:rPr>
                <w:bCs/>
                <w:i/>
              </w:rPr>
            </w:pPr>
            <w:r w:rsidRPr="009F3267">
              <w:rPr>
                <w:bCs/>
                <w:i/>
              </w:rPr>
              <w:t xml:space="preserve">jeigu nurodoma, </w:t>
            </w:r>
            <w:r w:rsidRPr="009F3267">
              <w:rPr>
                <w:b/>
                <w:i/>
              </w:rPr>
              <w:t>kad neatsižvelgta</w:t>
            </w:r>
            <w:r w:rsidRPr="009F3267">
              <w:t xml:space="preserve"> </w:t>
            </w:r>
            <w:r w:rsidRPr="009F3267">
              <w:rPr>
                <w:bCs/>
                <w:i/>
              </w:rPr>
              <w:t>– argumentuotai paaiškinama kodėl)</w:t>
            </w:r>
          </w:p>
          <w:p w14:paraId="3E7863AC" w14:textId="6D57BE0F" w:rsidR="00E3798D" w:rsidRPr="009F3267" w:rsidRDefault="00E3798D" w:rsidP="009F3267">
            <w:pPr>
              <w:widowControl w:val="0"/>
              <w:jc w:val="center"/>
              <w:rPr>
                <w:i/>
                <w:snapToGrid w:val="0"/>
                <w:highlight w:val="yellow"/>
              </w:rPr>
            </w:pPr>
          </w:p>
        </w:tc>
      </w:tr>
      <w:tr w:rsidR="00E3798D" w:rsidRPr="009F3267" w14:paraId="03F1AA2B" w14:textId="77777777" w:rsidTr="00E3798D">
        <w:tc>
          <w:tcPr>
            <w:tcW w:w="562" w:type="dxa"/>
          </w:tcPr>
          <w:p w14:paraId="1E09F019" w14:textId="4B249269" w:rsidR="00E3798D" w:rsidRPr="007D0B34" w:rsidRDefault="00E3798D" w:rsidP="00E3798D">
            <w:pPr>
              <w:jc w:val="both"/>
            </w:pPr>
            <w:r>
              <w:t>1.</w:t>
            </w:r>
          </w:p>
        </w:tc>
        <w:tc>
          <w:tcPr>
            <w:tcW w:w="5523" w:type="dxa"/>
          </w:tcPr>
          <w:p w14:paraId="583CDA0A" w14:textId="6163850C" w:rsidR="00E3798D" w:rsidRPr="007D0B34" w:rsidRDefault="00E3798D" w:rsidP="00E3798D">
            <w:pPr>
              <w:jc w:val="both"/>
            </w:pPr>
            <w:r w:rsidRPr="007D0B34">
              <w:t xml:space="preserve">Nėra nustatytas terminas, per kurį turi būti priimamas spendimas </w:t>
            </w:r>
            <w:r w:rsidRPr="00B13C66">
              <w:rPr>
                <w:u w:val="single"/>
              </w:rPr>
              <w:t>panaikinti patvirtinamojo dokumento galiojimą</w:t>
            </w:r>
            <w:r w:rsidR="00B13C66">
              <w:t xml:space="preserve"> </w:t>
            </w:r>
            <w:r w:rsidR="00B13C66" w:rsidRPr="00B13C66">
              <w:t>(toks terminas nenustatytas tiek Pluoštinių kanapių įstatyme, tiek Pluoštinių kanapių importo licencijavimo taisyklėse).</w:t>
            </w:r>
          </w:p>
        </w:tc>
        <w:tc>
          <w:tcPr>
            <w:tcW w:w="4844" w:type="dxa"/>
          </w:tcPr>
          <w:p w14:paraId="56D38DB1" w14:textId="00C9498F" w:rsidR="00E3798D" w:rsidRDefault="00E3798D" w:rsidP="00B13C66">
            <w:pPr>
              <w:widowControl w:val="0"/>
              <w:jc w:val="both"/>
              <w:rPr>
                <w:snapToGrid w:val="0"/>
              </w:rPr>
            </w:pPr>
            <w:r w:rsidRPr="007D0B34">
              <w:rPr>
                <w:snapToGrid w:val="0"/>
              </w:rPr>
              <w:t xml:space="preserve">Spręsti </w:t>
            </w:r>
            <w:r w:rsidR="00B13C66">
              <w:rPr>
                <w:snapToGrid w:val="0"/>
              </w:rPr>
              <w:t xml:space="preserve">klausimą dėl nuostatos – </w:t>
            </w:r>
            <w:r w:rsidRPr="007D0B34">
              <w:rPr>
                <w:snapToGrid w:val="0"/>
              </w:rPr>
              <w:t>sprendimo dėl  patvirtinamojo dokumento galiojimo panaikinimo termino, t. y. per kiek laiko turi būti priimtas spendimas panaikinti patvirtinančio dokumento galiojimą, kai pateikiamas importuotojo prašymas arba nustatomos kitos, Pluoštinių kanapių įstatymo 10 straipsnio 8 dalyje nurodytos aplinkybės, nustatymo.</w:t>
            </w:r>
          </w:p>
          <w:p w14:paraId="7E4CB1FD" w14:textId="29741757" w:rsidR="0016538A" w:rsidRPr="007D0B34" w:rsidRDefault="0016538A" w:rsidP="00B13C66">
            <w:pPr>
              <w:widowControl w:val="0"/>
              <w:jc w:val="both"/>
              <w:rPr>
                <w:snapToGrid w:val="0"/>
              </w:rPr>
            </w:pPr>
          </w:p>
        </w:tc>
        <w:tc>
          <w:tcPr>
            <w:tcW w:w="3383" w:type="dxa"/>
          </w:tcPr>
          <w:p w14:paraId="41B78B56" w14:textId="77777777" w:rsidR="00E3798D" w:rsidRDefault="00BE001D" w:rsidP="00E3798D">
            <w:pPr>
              <w:widowControl w:val="0"/>
              <w:jc w:val="both"/>
              <w:rPr>
                <w:snapToGrid w:val="0"/>
              </w:rPr>
            </w:pPr>
            <w:r w:rsidRPr="00C95E6A">
              <w:rPr>
                <w:b/>
                <w:bCs/>
                <w:snapToGrid w:val="0"/>
              </w:rPr>
              <w:t>Nea</w:t>
            </w:r>
            <w:r w:rsidR="00114E9B" w:rsidRPr="00C95E6A">
              <w:rPr>
                <w:b/>
                <w:bCs/>
                <w:snapToGrid w:val="0"/>
              </w:rPr>
              <w:t>tsižvelgta</w:t>
            </w:r>
            <w:r w:rsidR="00114E9B">
              <w:rPr>
                <w:snapToGrid w:val="0"/>
              </w:rPr>
              <w:t>.</w:t>
            </w:r>
          </w:p>
          <w:p w14:paraId="0C67BBE6" w14:textId="4C865DB9" w:rsidR="00114E9B" w:rsidRDefault="00114E9B" w:rsidP="00E3798D">
            <w:pPr>
              <w:widowControl w:val="0"/>
              <w:jc w:val="both"/>
            </w:pPr>
            <w:r>
              <w:rPr>
                <w:snapToGrid w:val="0"/>
              </w:rPr>
              <w:t xml:space="preserve">Nuostatos dėl </w:t>
            </w:r>
            <w:r w:rsidR="008A7E5D">
              <w:rPr>
                <w:snapToGrid w:val="0"/>
              </w:rPr>
              <w:t>licencijų (leidimų, ar kitų patvirtinamųjų dokumentų</w:t>
            </w:r>
            <w:r w:rsidR="00C4211E">
              <w:rPr>
                <w:snapToGrid w:val="0"/>
              </w:rPr>
              <w:t xml:space="preserve">, priskiriamų licencijoms) </w:t>
            </w:r>
            <w:r w:rsidR="0068425C">
              <w:rPr>
                <w:snapToGrid w:val="0"/>
              </w:rPr>
              <w:t>rengiamuose teisės aktuose</w:t>
            </w:r>
            <w:r w:rsidR="003F28BB">
              <w:rPr>
                <w:snapToGrid w:val="0"/>
              </w:rPr>
              <w:t xml:space="preserve"> </w:t>
            </w:r>
            <w:r w:rsidR="00C20B8F">
              <w:rPr>
                <w:snapToGrid w:val="0"/>
              </w:rPr>
              <w:t>(įstatymu</w:t>
            </w:r>
            <w:r w:rsidR="00DF720D">
              <w:rPr>
                <w:snapToGrid w:val="0"/>
              </w:rPr>
              <w:t>o</w:t>
            </w:r>
            <w:r w:rsidR="00C20B8F">
              <w:rPr>
                <w:snapToGrid w:val="0"/>
              </w:rPr>
              <w:t>s</w:t>
            </w:r>
            <w:r w:rsidR="00DF720D">
              <w:rPr>
                <w:snapToGrid w:val="0"/>
              </w:rPr>
              <w:t>e</w:t>
            </w:r>
            <w:r w:rsidR="00C20B8F">
              <w:rPr>
                <w:snapToGrid w:val="0"/>
              </w:rPr>
              <w:t>, poįstatyminiu</w:t>
            </w:r>
            <w:r w:rsidR="00DF720D">
              <w:rPr>
                <w:snapToGrid w:val="0"/>
              </w:rPr>
              <w:t>o</w:t>
            </w:r>
            <w:r w:rsidR="00C20B8F">
              <w:rPr>
                <w:snapToGrid w:val="0"/>
              </w:rPr>
              <w:t>s</w:t>
            </w:r>
            <w:r w:rsidR="00DF720D">
              <w:rPr>
                <w:snapToGrid w:val="0"/>
              </w:rPr>
              <w:t>e</w:t>
            </w:r>
            <w:r w:rsidR="00C20B8F">
              <w:rPr>
                <w:snapToGrid w:val="0"/>
              </w:rPr>
              <w:t xml:space="preserve"> teisės aktu</w:t>
            </w:r>
            <w:r w:rsidR="001028BD">
              <w:rPr>
                <w:snapToGrid w:val="0"/>
              </w:rPr>
              <w:t>ose</w:t>
            </w:r>
            <w:r w:rsidR="00C20B8F">
              <w:rPr>
                <w:snapToGrid w:val="0"/>
              </w:rPr>
              <w:t xml:space="preserve">) </w:t>
            </w:r>
            <w:r w:rsidR="00C4211E">
              <w:rPr>
                <w:snapToGrid w:val="0"/>
              </w:rPr>
              <w:t xml:space="preserve"> </w:t>
            </w:r>
            <w:r w:rsidR="003F28BB">
              <w:rPr>
                <w:snapToGrid w:val="0"/>
              </w:rPr>
              <w:t xml:space="preserve">nustatomos </w:t>
            </w:r>
            <w:r w:rsidR="00351B96">
              <w:rPr>
                <w:snapToGrid w:val="0"/>
              </w:rPr>
              <w:t xml:space="preserve">vadovaujantis </w:t>
            </w:r>
            <w:r w:rsidR="00FC7F04">
              <w:rPr>
                <w:color w:val="000000"/>
              </w:rPr>
              <w:t xml:space="preserve">Licencijavimo pagrindų aprašu patvirtintu </w:t>
            </w:r>
            <w:r w:rsidR="00374DB3" w:rsidRPr="00D4675B">
              <w:t>2012 m. liepos 18 d.</w:t>
            </w:r>
            <w:r w:rsidR="00374DB3">
              <w:t xml:space="preserve"> LRV Nutarimu Nr. </w:t>
            </w:r>
            <w:r w:rsidR="00CF0F34">
              <w:t xml:space="preserve">937 </w:t>
            </w:r>
            <w:r w:rsidR="00CF124E">
              <w:t xml:space="preserve">„Dėl </w:t>
            </w:r>
            <w:r w:rsidR="00CF124E">
              <w:rPr>
                <w:color w:val="000000"/>
              </w:rPr>
              <w:t xml:space="preserve">Licencijavimo pagrindų aprašo ir </w:t>
            </w:r>
            <w:r w:rsidR="00F45705">
              <w:rPr>
                <w:color w:val="000000"/>
              </w:rPr>
              <w:t xml:space="preserve">licencijos informacinės </w:t>
            </w:r>
            <w:r w:rsidR="004D1119">
              <w:rPr>
                <w:color w:val="000000"/>
              </w:rPr>
              <w:t xml:space="preserve">sistemos nuostatų patvirtinimo“ (toliau – aprašas). </w:t>
            </w:r>
            <w:r w:rsidR="00AA213C">
              <w:rPr>
                <w:color w:val="000000"/>
              </w:rPr>
              <w:t xml:space="preserve">Apraše </w:t>
            </w:r>
            <w:r w:rsidR="006E51D9">
              <w:rPr>
                <w:color w:val="000000"/>
              </w:rPr>
              <w:t>yra nurodyti reikalavimai</w:t>
            </w:r>
            <w:r w:rsidR="008B7642">
              <w:rPr>
                <w:color w:val="000000"/>
              </w:rPr>
              <w:t xml:space="preserve"> </w:t>
            </w:r>
            <w:r w:rsidR="002634D1">
              <w:rPr>
                <w:color w:val="000000"/>
              </w:rPr>
              <w:t xml:space="preserve">taikomi </w:t>
            </w:r>
            <w:r w:rsidR="008B7642">
              <w:rPr>
                <w:color w:val="000000"/>
              </w:rPr>
              <w:t>rengiamiems</w:t>
            </w:r>
            <w:r w:rsidR="006E51D9">
              <w:rPr>
                <w:color w:val="000000"/>
              </w:rPr>
              <w:t xml:space="preserve"> </w:t>
            </w:r>
            <w:r w:rsidR="009D6257">
              <w:rPr>
                <w:color w:val="000000"/>
              </w:rPr>
              <w:t>veiklos licencijavimą reguliuojančiuose įstatymuose</w:t>
            </w:r>
            <w:r w:rsidR="002634D1">
              <w:rPr>
                <w:color w:val="000000"/>
              </w:rPr>
              <w:t xml:space="preserve"> (18 punktas) ir </w:t>
            </w:r>
            <w:r w:rsidR="009D6257">
              <w:rPr>
                <w:color w:val="000000"/>
              </w:rPr>
              <w:t xml:space="preserve"> </w:t>
            </w:r>
            <w:r w:rsidR="00A12C01">
              <w:rPr>
                <w:color w:val="000000"/>
              </w:rPr>
              <w:t xml:space="preserve">reikalavimai taikomi </w:t>
            </w:r>
            <w:r w:rsidR="00A12C01">
              <w:rPr>
                <w:color w:val="000000"/>
              </w:rPr>
              <w:lastRenderedPageBreak/>
              <w:t xml:space="preserve">rengiamoms </w:t>
            </w:r>
            <w:r w:rsidR="00F56C1D">
              <w:rPr>
                <w:color w:val="000000"/>
              </w:rPr>
              <w:t xml:space="preserve">licencijavimo taisyklėms (20 punktas). </w:t>
            </w:r>
            <w:r w:rsidR="00E02242">
              <w:rPr>
                <w:color w:val="000000"/>
              </w:rPr>
              <w:t>Šiuose reikalavimuose nėra nuostatų susij</w:t>
            </w:r>
            <w:r w:rsidR="00827D3F">
              <w:rPr>
                <w:color w:val="000000"/>
              </w:rPr>
              <w:t>u</w:t>
            </w:r>
            <w:r w:rsidR="00E02242">
              <w:rPr>
                <w:color w:val="000000"/>
              </w:rPr>
              <w:t xml:space="preserve">sių su </w:t>
            </w:r>
            <w:r w:rsidR="00827D3F">
              <w:rPr>
                <w:color w:val="000000"/>
              </w:rPr>
              <w:t xml:space="preserve">terminų, </w:t>
            </w:r>
            <w:r w:rsidR="00827D3F" w:rsidRPr="007D0B34">
              <w:t>per kurį turi būti priimama</w:t>
            </w:r>
            <w:r w:rsidR="00827D3F">
              <w:t>i</w:t>
            </w:r>
            <w:r w:rsidR="00827D3F" w:rsidRPr="007D0B34">
              <w:t xml:space="preserve"> spendima</w:t>
            </w:r>
            <w:r w:rsidR="00827D3F">
              <w:t>i dėl</w:t>
            </w:r>
            <w:r w:rsidR="002E0B07">
              <w:t xml:space="preserve"> dokumentų galiojimo </w:t>
            </w:r>
            <w:r w:rsidR="00ED1AE2">
              <w:t>panaikinimo,</w:t>
            </w:r>
            <w:r w:rsidR="00827D3F">
              <w:t xml:space="preserve"> </w:t>
            </w:r>
            <w:r w:rsidR="00C10A91">
              <w:t>nustatymu</w:t>
            </w:r>
            <w:r w:rsidR="00C95E6A">
              <w:t xml:space="preserve">. </w:t>
            </w:r>
          </w:p>
          <w:p w14:paraId="1F35AB6D" w14:textId="77777777" w:rsidR="00605706" w:rsidRDefault="00605706" w:rsidP="00E3798D">
            <w:pPr>
              <w:widowControl w:val="0"/>
              <w:jc w:val="both"/>
              <w:rPr>
                <w:color w:val="000000"/>
              </w:rPr>
            </w:pPr>
            <w:r>
              <w:rPr>
                <w:snapToGrid w:val="0"/>
              </w:rPr>
              <w:t xml:space="preserve">Apraše </w:t>
            </w:r>
            <w:r w:rsidR="00E02EBD">
              <w:rPr>
                <w:snapToGrid w:val="0"/>
              </w:rPr>
              <w:t>nustatyta, kad privalo būti nustatyti</w:t>
            </w:r>
            <w:r>
              <w:rPr>
                <w:snapToGrid w:val="0"/>
              </w:rPr>
              <w:t xml:space="preserve"> terminai</w:t>
            </w:r>
            <w:r w:rsidR="003478BA">
              <w:rPr>
                <w:snapToGrid w:val="0"/>
              </w:rPr>
              <w:t xml:space="preserve"> </w:t>
            </w:r>
            <w:r w:rsidR="00A76256">
              <w:rPr>
                <w:color w:val="000000"/>
              </w:rPr>
              <w:t xml:space="preserve">per kurį licencijas išduodantis subjektas turi </w:t>
            </w:r>
            <w:r w:rsidR="00A76256" w:rsidRPr="00C12D05">
              <w:rPr>
                <w:color w:val="000000"/>
                <w:u w:val="single"/>
              </w:rPr>
              <w:t>pranešti</w:t>
            </w:r>
            <w:r w:rsidR="00A76256">
              <w:rPr>
                <w:color w:val="000000"/>
              </w:rPr>
              <w:t xml:space="preserve"> licencijos turėtojui apie licencijos galiojimo sustabdymą, galiojimo sustabdymo panaikinimą ir galiojimo panaikinimą</w:t>
            </w:r>
            <w:r w:rsidR="006456AC">
              <w:rPr>
                <w:color w:val="000000"/>
              </w:rPr>
              <w:t xml:space="preserve">, </w:t>
            </w:r>
            <w:r w:rsidR="00DE7AFF">
              <w:rPr>
                <w:color w:val="000000"/>
              </w:rPr>
              <w:t xml:space="preserve">licencijos </w:t>
            </w:r>
            <w:r w:rsidR="00DE7AFF" w:rsidRPr="00D33A13">
              <w:rPr>
                <w:color w:val="000000"/>
                <w:u w:val="single"/>
              </w:rPr>
              <w:t>išdavimo</w:t>
            </w:r>
            <w:r w:rsidR="00DE7AFF">
              <w:rPr>
                <w:color w:val="000000"/>
              </w:rPr>
              <w:t xml:space="preserve"> ir motyvuoto </w:t>
            </w:r>
            <w:r w:rsidR="00DE7AFF" w:rsidRPr="00D33A13">
              <w:rPr>
                <w:color w:val="000000"/>
                <w:u w:val="single"/>
              </w:rPr>
              <w:t>atsisakymo išduoti</w:t>
            </w:r>
            <w:r w:rsidR="00DE7AFF">
              <w:rPr>
                <w:color w:val="000000"/>
              </w:rPr>
              <w:t xml:space="preserve"> licenciją pateikimo terminas</w:t>
            </w:r>
            <w:r w:rsidR="00E02EBD">
              <w:rPr>
                <w:color w:val="000000"/>
              </w:rPr>
              <w:t xml:space="preserve">, </w:t>
            </w:r>
            <w:r w:rsidR="00A35677" w:rsidRPr="00D33A13">
              <w:rPr>
                <w:color w:val="000000"/>
                <w:u w:val="single"/>
              </w:rPr>
              <w:t>dokumentų pateikimo</w:t>
            </w:r>
            <w:r w:rsidR="00A35677">
              <w:rPr>
                <w:color w:val="000000"/>
              </w:rPr>
              <w:t xml:space="preserve"> ar jų </w:t>
            </w:r>
            <w:r w:rsidR="00A35677" w:rsidRPr="00D33A13">
              <w:rPr>
                <w:color w:val="000000"/>
                <w:u w:val="single"/>
              </w:rPr>
              <w:t>patikslinimo</w:t>
            </w:r>
            <w:r w:rsidR="00A35677">
              <w:rPr>
                <w:color w:val="000000"/>
              </w:rPr>
              <w:t xml:space="preserve"> terminai.</w:t>
            </w:r>
          </w:p>
          <w:p w14:paraId="5F553EFA" w14:textId="7D7BC2B8" w:rsidR="008E4286" w:rsidRPr="009F3267" w:rsidRDefault="008E4286" w:rsidP="00E3798D">
            <w:pPr>
              <w:widowControl w:val="0"/>
              <w:jc w:val="both"/>
              <w:rPr>
                <w:snapToGrid w:val="0"/>
              </w:rPr>
            </w:pPr>
            <w:r>
              <w:rPr>
                <w:color w:val="000000"/>
              </w:rPr>
              <w:t>Taip pat atkreipiame dėmesį, kad  Viešojo administravimo įstatymo 10 straipsnio 4 punkte yra nustatyti administracinio sprendimo priėmimo terminai ir papildomai jų nustatinėti atskiruose teisės akte netikslinga.</w:t>
            </w:r>
          </w:p>
        </w:tc>
      </w:tr>
      <w:tr w:rsidR="00B13C66" w:rsidRPr="009F3267" w14:paraId="42C75D37" w14:textId="77777777" w:rsidTr="002A445E">
        <w:tc>
          <w:tcPr>
            <w:tcW w:w="562" w:type="dxa"/>
          </w:tcPr>
          <w:p w14:paraId="40709716" w14:textId="16C68F10" w:rsidR="00B13C66" w:rsidRDefault="00B13C66" w:rsidP="00E3798D">
            <w:pPr>
              <w:jc w:val="both"/>
            </w:pPr>
            <w:r>
              <w:lastRenderedPageBreak/>
              <w:t>2.</w:t>
            </w:r>
          </w:p>
        </w:tc>
        <w:tc>
          <w:tcPr>
            <w:tcW w:w="5523" w:type="dxa"/>
            <w:tcBorders>
              <w:bottom w:val="single" w:sz="4" w:space="0" w:color="auto"/>
            </w:tcBorders>
          </w:tcPr>
          <w:p w14:paraId="3A60FCF0" w14:textId="5D749FB2" w:rsidR="00B13C66" w:rsidRPr="007D0B34" w:rsidRDefault="00B13C66" w:rsidP="00E3798D">
            <w:pPr>
              <w:jc w:val="both"/>
            </w:pPr>
            <w:r w:rsidRPr="00B13C66">
              <w:t xml:space="preserve">Nėra </w:t>
            </w:r>
            <w:r w:rsidR="00CD0C70">
              <w:t xml:space="preserve">aiškiai </w:t>
            </w:r>
            <w:r w:rsidRPr="00B13C66">
              <w:t xml:space="preserve">nustatytas terminas, per kurį turi būti priimamas spendimas </w:t>
            </w:r>
            <w:r w:rsidRPr="00F42CFC">
              <w:rPr>
                <w:u w:val="single"/>
              </w:rPr>
              <w:t>sustabdyti licencijos galiojimą</w:t>
            </w:r>
            <w:r w:rsidR="00CD0C70">
              <w:rPr>
                <w:u w:val="single"/>
              </w:rPr>
              <w:t xml:space="preserve">, atitinkamai – </w:t>
            </w:r>
            <w:r w:rsidR="00D501F3">
              <w:rPr>
                <w:u w:val="single"/>
              </w:rPr>
              <w:t xml:space="preserve">nėra nustatytas terminas, per kurį turi būti priimamas sprendimas </w:t>
            </w:r>
            <w:r w:rsidR="00CD0C70">
              <w:rPr>
                <w:u w:val="single"/>
              </w:rPr>
              <w:t>panaikinti licencijos galiojimo sustabdymą</w:t>
            </w:r>
            <w:r w:rsidRPr="00B13C66">
              <w:t xml:space="preserve"> (toks terminas nenustatytas tiek Pluoštinių kanapių įstatyme, tiek Pluoštinių kanapių importo licencijavimo taisyklėse).</w:t>
            </w:r>
          </w:p>
        </w:tc>
        <w:tc>
          <w:tcPr>
            <w:tcW w:w="4844" w:type="dxa"/>
          </w:tcPr>
          <w:p w14:paraId="5E517191" w14:textId="3B10C6D6" w:rsidR="00B13C66" w:rsidRDefault="00B13C66" w:rsidP="00B13C66">
            <w:pPr>
              <w:widowControl w:val="0"/>
              <w:jc w:val="both"/>
              <w:rPr>
                <w:snapToGrid w:val="0"/>
              </w:rPr>
            </w:pPr>
            <w:r w:rsidRPr="00B13C66">
              <w:rPr>
                <w:snapToGrid w:val="0"/>
              </w:rPr>
              <w:t>Spręsti klausimą dėl nuostat</w:t>
            </w:r>
            <w:r w:rsidR="00CD0C70">
              <w:rPr>
                <w:snapToGrid w:val="0"/>
              </w:rPr>
              <w:t>ų</w:t>
            </w:r>
            <w:r w:rsidRPr="00B13C66">
              <w:rPr>
                <w:snapToGrid w:val="0"/>
              </w:rPr>
              <w:t xml:space="preserve"> – sprendimo dėl  licencijos galiojimo </w:t>
            </w:r>
            <w:r>
              <w:rPr>
                <w:snapToGrid w:val="0"/>
              </w:rPr>
              <w:t xml:space="preserve">sustabdymo </w:t>
            </w:r>
            <w:r w:rsidRPr="00B13C66">
              <w:rPr>
                <w:snapToGrid w:val="0"/>
              </w:rPr>
              <w:t xml:space="preserve">termino, t. y. per kiek laiko turi būti priimtas spendimas </w:t>
            </w:r>
            <w:r>
              <w:rPr>
                <w:snapToGrid w:val="0"/>
              </w:rPr>
              <w:t xml:space="preserve">sustabdyti </w:t>
            </w:r>
            <w:r w:rsidRPr="00B13C66">
              <w:rPr>
                <w:snapToGrid w:val="0"/>
              </w:rPr>
              <w:t>licencijos galiojimą, kai nustatom</w:t>
            </w:r>
            <w:r>
              <w:rPr>
                <w:snapToGrid w:val="0"/>
              </w:rPr>
              <w:t>a</w:t>
            </w:r>
            <w:r w:rsidRPr="00B13C66">
              <w:rPr>
                <w:snapToGrid w:val="0"/>
              </w:rPr>
              <w:t xml:space="preserve"> Pluoštinių kanapių įstatymo 9 straipsnio </w:t>
            </w:r>
            <w:r w:rsidR="0001321E">
              <w:rPr>
                <w:snapToGrid w:val="0"/>
              </w:rPr>
              <w:t>2</w:t>
            </w:r>
            <w:r w:rsidRPr="00B13C66">
              <w:rPr>
                <w:snapToGrid w:val="0"/>
              </w:rPr>
              <w:t xml:space="preserve"> dalyje nurodyt</w:t>
            </w:r>
            <w:r>
              <w:rPr>
                <w:snapToGrid w:val="0"/>
              </w:rPr>
              <w:t>a</w:t>
            </w:r>
            <w:r w:rsidRPr="00B13C66">
              <w:rPr>
                <w:snapToGrid w:val="0"/>
              </w:rPr>
              <w:t xml:space="preserve"> aplinkybė</w:t>
            </w:r>
            <w:r w:rsidR="00D501F3">
              <w:rPr>
                <w:snapToGrid w:val="0"/>
              </w:rPr>
              <w:t xml:space="preserve">; ir dėl leidimo galiojimo sustabdymo panaikinimo termino </w:t>
            </w:r>
            <w:r w:rsidRPr="00B13C66">
              <w:rPr>
                <w:snapToGrid w:val="0"/>
              </w:rPr>
              <w:t>nustatymo klausimą</w:t>
            </w:r>
            <w:r w:rsidR="00CD0C70">
              <w:rPr>
                <w:snapToGrid w:val="0"/>
              </w:rPr>
              <w:t xml:space="preserve">. </w:t>
            </w:r>
          </w:p>
          <w:p w14:paraId="35D443C7" w14:textId="325F008E" w:rsidR="0016538A" w:rsidRPr="007D0B34" w:rsidRDefault="0016538A" w:rsidP="00B13C66">
            <w:pPr>
              <w:widowControl w:val="0"/>
              <w:jc w:val="both"/>
              <w:rPr>
                <w:snapToGrid w:val="0"/>
              </w:rPr>
            </w:pPr>
          </w:p>
        </w:tc>
        <w:tc>
          <w:tcPr>
            <w:tcW w:w="3383" w:type="dxa"/>
          </w:tcPr>
          <w:p w14:paraId="282A0DFF" w14:textId="77777777" w:rsidR="00ED3B98" w:rsidRDefault="00D33A13" w:rsidP="00E3798D">
            <w:pPr>
              <w:widowControl w:val="0"/>
              <w:jc w:val="both"/>
              <w:rPr>
                <w:b/>
                <w:bCs/>
                <w:snapToGrid w:val="0"/>
              </w:rPr>
            </w:pPr>
            <w:r w:rsidRPr="00C95E6A">
              <w:rPr>
                <w:b/>
                <w:bCs/>
                <w:snapToGrid w:val="0"/>
              </w:rPr>
              <w:t>Neatsižvelgta</w:t>
            </w:r>
            <w:r>
              <w:rPr>
                <w:b/>
                <w:bCs/>
                <w:snapToGrid w:val="0"/>
              </w:rPr>
              <w:t>.</w:t>
            </w:r>
          </w:p>
          <w:p w14:paraId="36F22188" w14:textId="63181E1E" w:rsidR="00B13C66" w:rsidRDefault="001028BD" w:rsidP="00E3798D">
            <w:pPr>
              <w:widowControl w:val="0"/>
              <w:jc w:val="both"/>
            </w:pPr>
            <w:r>
              <w:rPr>
                <w:snapToGrid w:val="0"/>
              </w:rPr>
              <w:t xml:space="preserve">Nuostatos dėl licencijų (leidimų, ar kitų patvirtinamųjų dokumentų, priskiriamų licencijoms) rengiamuose teisės aktuose (įstatymuose, poįstatyminiuose teisės aktuose)  nustatomos vadovaujantis </w:t>
            </w:r>
            <w:proofErr w:type="spellStart"/>
            <w:r w:rsidR="00C95E6A">
              <w:rPr>
                <w:snapToGrid w:val="0"/>
              </w:rPr>
              <w:t>vadovaujantis</w:t>
            </w:r>
            <w:proofErr w:type="spellEnd"/>
            <w:r w:rsidR="00C95E6A">
              <w:rPr>
                <w:snapToGrid w:val="0"/>
              </w:rPr>
              <w:t xml:space="preserve"> </w:t>
            </w:r>
            <w:r w:rsidR="00C95E6A">
              <w:rPr>
                <w:color w:val="000000"/>
              </w:rPr>
              <w:t xml:space="preserve">Licencijavimo </w:t>
            </w:r>
            <w:r w:rsidR="00C95E6A">
              <w:rPr>
                <w:color w:val="000000"/>
              </w:rPr>
              <w:lastRenderedPageBreak/>
              <w:t xml:space="preserve">pagrindų aprašu patvirtintu </w:t>
            </w:r>
            <w:r w:rsidR="00C95E6A" w:rsidRPr="00D4675B">
              <w:t>2012 m. liepos 18 d.</w:t>
            </w:r>
            <w:r w:rsidR="00C95E6A">
              <w:t xml:space="preserve"> LRV Nutarimu Nr. 937 „Dėl </w:t>
            </w:r>
            <w:r w:rsidR="00C95E6A">
              <w:rPr>
                <w:color w:val="000000"/>
              </w:rPr>
              <w:t xml:space="preserve">Licencijavimo pagrindų aprašo ir licencijos informacinės sistemos nuostatų patvirtinimo“ (toliau – aprašas). Apraše yra nurodyti reikalavimai taikomi rengiamiems veiklos licencijavimą reguliuojančiuose įstatymuose (18 punktas) ir  reikalavimai taikomi rengiamoms licencijavimo taisyklėms (20 punktas). Šiuose reikalavimuose nėra nuostatų susijusių su terminų, </w:t>
            </w:r>
            <w:r w:rsidR="00C95E6A" w:rsidRPr="007D0B34">
              <w:t>per kurį turi būti priimama</w:t>
            </w:r>
            <w:r w:rsidR="00C95E6A">
              <w:t>i</w:t>
            </w:r>
            <w:r w:rsidR="00C95E6A" w:rsidRPr="007D0B34">
              <w:t xml:space="preserve"> spendima</w:t>
            </w:r>
            <w:r w:rsidR="00C95E6A">
              <w:t>i dėl</w:t>
            </w:r>
            <w:r w:rsidR="00ED1AE2">
              <w:rPr>
                <w:u w:val="single"/>
              </w:rPr>
              <w:t xml:space="preserve"> </w:t>
            </w:r>
            <w:r w:rsidR="00ED1AE2" w:rsidRPr="009E5A48">
              <w:t>licencijos galiojimo sustabdym</w:t>
            </w:r>
            <w:r w:rsidR="009E5A48">
              <w:t>o</w:t>
            </w:r>
            <w:r w:rsidR="00ED1AE2" w:rsidRPr="009E5A48">
              <w:t xml:space="preserve"> </w:t>
            </w:r>
            <w:r w:rsidR="00C95E6A" w:rsidRPr="009E5A48">
              <w:t xml:space="preserve"> </w:t>
            </w:r>
            <w:r w:rsidR="009E5A48" w:rsidRPr="009E5A48">
              <w:t>panaikinimo,</w:t>
            </w:r>
            <w:r w:rsidR="009E5A48">
              <w:rPr>
                <w:u w:val="single"/>
              </w:rPr>
              <w:t xml:space="preserve"> </w:t>
            </w:r>
            <w:r w:rsidR="00C95E6A">
              <w:t>nustatymu.</w:t>
            </w:r>
          </w:p>
          <w:p w14:paraId="2B38F2CD" w14:textId="445672C6" w:rsidR="004D301D" w:rsidRPr="008E4286" w:rsidRDefault="00D33A13" w:rsidP="00E3798D">
            <w:pPr>
              <w:widowControl w:val="0"/>
              <w:jc w:val="both"/>
              <w:rPr>
                <w:color w:val="000000"/>
              </w:rPr>
            </w:pPr>
            <w:r>
              <w:rPr>
                <w:snapToGrid w:val="0"/>
              </w:rPr>
              <w:t xml:space="preserve">Apraše nustatyta, kad privalo būti nustatyti terminai </w:t>
            </w:r>
            <w:r>
              <w:rPr>
                <w:color w:val="000000"/>
              </w:rPr>
              <w:t xml:space="preserve">per kurį licencijas išduodantis subjektas turi </w:t>
            </w:r>
            <w:r w:rsidRPr="00C12D05">
              <w:rPr>
                <w:color w:val="000000"/>
                <w:u w:val="single"/>
              </w:rPr>
              <w:t>pranešti</w:t>
            </w:r>
            <w:r>
              <w:rPr>
                <w:color w:val="000000"/>
              </w:rPr>
              <w:t xml:space="preserve"> licencijos turėtojui apie licencijos galiojimo sustabdymą, galiojimo sustabdymo panaikinimą ir galiojimo panaikinimą, licencijos </w:t>
            </w:r>
            <w:r w:rsidRPr="00D33A13">
              <w:rPr>
                <w:color w:val="000000"/>
                <w:u w:val="single"/>
              </w:rPr>
              <w:t>išdavimo</w:t>
            </w:r>
            <w:r>
              <w:rPr>
                <w:color w:val="000000"/>
              </w:rPr>
              <w:t xml:space="preserve"> ir motyvuoto </w:t>
            </w:r>
            <w:r w:rsidRPr="00D33A13">
              <w:rPr>
                <w:color w:val="000000"/>
                <w:u w:val="single"/>
              </w:rPr>
              <w:t>atsisakymo išduoti</w:t>
            </w:r>
            <w:r>
              <w:rPr>
                <w:color w:val="000000"/>
              </w:rPr>
              <w:t xml:space="preserve"> licenciją pateikimo terminas, </w:t>
            </w:r>
            <w:r w:rsidRPr="00D33A13">
              <w:rPr>
                <w:color w:val="000000"/>
                <w:u w:val="single"/>
              </w:rPr>
              <w:t>dokumentų pateikimo</w:t>
            </w:r>
            <w:r>
              <w:rPr>
                <w:color w:val="000000"/>
              </w:rPr>
              <w:t xml:space="preserve"> ar jų </w:t>
            </w:r>
            <w:r w:rsidRPr="00D33A13">
              <w:rPr>
                <w:color w:val="000000"/>
                <w:u w:val="single"/>
              </w:rPr>
              <w:t>patikslinimo</w:t>
            </w:r>
            <w:r>
              <w:rPr>
                <w:color w:val="000000"/>
              </w:rPr>
              <w:t xml:space="preserve"> terminai.</w:t>
            </w:r>
          </w:p>
        </w:tc>
      </w:tr>
      <w:tr w:rsidR="00E3798D" w:rsidRPr="009F3267" w14:paraId="578637E3" w14:textId="77777777" w:rsidTr="002A445E">
        <w:tc>
          <w:tcPr>
            <w:tcW w:w="562" w:type="dxa"/>
          </w:tcPr>
          <w:p w14:paraId="2B047CF1" w14:textId="5B7D999E" w:rsidR="00E3798D" w:rsidRPr="007D0B34" w:rsidRDefault="00B13C66" w:rsidP="00E3798D">
            <w:pPr>
              <w:widowControl w:val="0"/>
              <w:jc w:val="both"/>
              <w:rPr>
                <w:snapToGrid w:val="0"/>
              </w:rPr>
            </w:pPr>
            <w:r>
              <w:rPr>
                <w:snapToGrid w:val="0"/>
              </w:rPr>
              <w:lastRenderedPageBreak/>
              <w:t>3</w:t>
            </w:r>
            <w:r w:rsidR="00E3798D">
              <w:rPr>
                <w:snapToGrid w:val="0"/>
              </w:rPr>
              <w:t>.</w:t>
            </w:r>
          </w:p>
        </w:tc>
        <w:tc>
          <w:tcPr>
            <w:tcW w:w="5523" w:type="dxa"/>
            <w:tcBorders>
              <w:bottom w:val="single" w:sz="4" w:space="0" w:color="auto"/>
            </w:tcBorders>
          </w:tcPr>
          <w:p w14:paraId="783C1DE6" w14:textId="04EDF7D5" w:rsidR="00E3798D" w:rsidRPr="007D0B34" w:rsidRDefault="00B13C66" w:rsidP="00E3798D">
            <w:pPr>
              <w:widowControl w:val="0"/>
              <w:jc w:val="both"/>
              <w:rPr>
                <w:snapToGrid w:val="0"/>
              </w:rPr>
            </w:pPr>
            <w:r>
              <w:rPr>
                <w:snapToGrid w:val="0"/>
              </w:rPr>
              <w:t>N</w:t>
            </w:r>
            <w:r w:rsidR="00E3798D" w:rsidRPr="007D0B34">
              <w:rPr>
                <w:snapToGrid w:val="0"/>
              </w:rPr>
              <w:t xml:space="preserve">ėra nustatytas terminas, per kurį turi būti priimamas spendimas </w:t>
            </w:r>
            <w:r w:rsidR="00E3798D" w:rsidRPr="00B13C66">
              <w:rPr>
                <w:snapToGrid w:val="0"/>
                <w:u w:val="single"/>
              </w:rPr>
              <w:t>panaikinti licencijos galiojimą</w:t>
            </w:r>
            <w:r w:rsidR="00E3798D" w:rsidRPr="007D0B34">
              <w:rPr>
                <w:snapToGrid w:val="0"/>
              </w:rPr>
              <w:t xml:space="preserve"> (toks terminas nenustatytas tiek Pluoštinių kanapių įstatyme, tiek Pluoštinių kanapių importo licencijavimo taisyklėse).</w:t>
            </w:r>
          </w:p>
        </w:tc>
        <w:tc>
          <w:tcPr>
            <w:tcW w:w="4844" w:type="dxa"/>
          </w:tcPr>
          <w:p w14:paraId="1AC1402E" w14:textId="259F37C8" w:rsidR="00E3798D" w:rsidRPr="0001321E" w:rsidRDefault="00B13C66" w:rsidP="00B13C66">
            <w:pPr>
              <w:widowControl w:val="0"/>
              <w:jc w:val="both"/>
              <w:rPr>
                <w:snapToGrid w:val="0"/>
                <w:color w:val="000000" w:themeColor="text1"/>
              </w:rPr>
            </w:pPr>
            <w:r w:rsidRPr="00B13C66">
              <w:rPr>
                <w:snapToGrid w:val="0"/>
              </w:rPr>
              <w:t>Spręsti klausimą dėl nuostatos – sprendimo dėl  licencijos galiojimo panaikinimo termino, t. y. per kiek laiko turi būti priimtas spendimas panaikinti licencijos galiojimą, kai nustatomos Pluoštinių kanapi</w:t>
            </w:r>
            <w:r w:rsidRPr="0001321E">
              <w:rPr>
                <w:snapToGrid w:val="0"/>
                <w:color w:val="000000" w:themeColor="text1"/>
              </w:rPr>
              <w:t xml:space="preserve">ų įstatymo 9 straipsnio </w:t>
            </w:r>
            <w:r w:rsidR="0001321E">
              <w:rPr>
                <w:snapToGrid w:val="0"/>
                <w:color w:val="000000" w:themeColor="text1"/>
              </w:rPr>
              <w:t>6</w:t>
            </w:r>
            <w:r w:rsidRPr="0001321E">
              <w:rPr>
                <w:snapToGrid w:val="0"/>
                <w:color w:val="000000" w:themeColor="text1"/>
              </w:rPr>
              <w:t xml:space="preserve"> dalyje </w:t>
            </w:r>
            <w:r w:rsidRPr="0001321E">
              <w:rPr>
                <w:snapToGrid w:val="0"/>
                <w:color w:val="000000" w:themeColor="text1"/>
              </w:rPr>
              <w:lastRenderedPageBreak/>
              <w:t>nurodyt</w:t>
            </w:r>
            <w:r w:rsidR="0001321E">
              <w:rPr>
                <w:snapToGrid w:val="0"/>
                <w:color w:val="000000" w:themeColor="text1"/>
              </w:rPr>
              <w:t>os</w:t>
            </w:r>
            <w:r w:rsidRPr="0001321E">
              <w:rPr>
                <w:snapToGrid w:val="0"/>
                <w:color w:val="000000" w:themeColor="text1"/>
              </w:rPr>
              <w:t xml:space="preserve"> aplinkyb</w:t>
            </w:r>
            <w:r w:rsidR="0001321E">
              <w:rPr>
                <w:snapToGrid w:val="0"/>
                <w:color w:val="000000" w:themeColor="text1"/>
              </w:rPr>
              <w:t>ės</w:t>
            </w:r>
            <w:r w:rsidRPr="0001321E">
              <w:rPr>
                <w:snapToGrid w:val="0"/>
                <w:color w:val="000000" w:themeColor="text1"/>
              </w:rPr>
              <w:t xml:space="preserve">, nustatymo. </w:t>
            </w:r>
          </w:p>
          <w:p w14:paraId="663A01AA" w14:textId="7E604DFA" w:rsidR="0016538A" w:rsidRPr="007D0B34" w:rsidRDefault="0016538A" w:rsidP="00B13C66">
            <w:pPr>
              <w:widowControl w:val="0"/>
              <w:jc w:val="both"/>
              <w:rPr>
                <w:shd w:val="clear" w:color="auto" w:fill="FFFFFF"/>
              </w:rPr>
            </w:pPr>
          </w:p>
        </w:tc>
        <w:tc>
          <w:tcPr>
            <w:tcW w:w="3383" w:type="dxa"/>
          </w:tcPr>
          <w:p w14:paraId="0D1F8C40" w14:textId="77777777" w:rsidR="00ED3B98" w:rsidRDefault="00ED3B98" w:rsidP="00ED3B98">
            <w:pPr>
              <w:widowControl w:val="0"/>
              <w:jc w:val="both"/>
              <w:rPr>
                <w:b/>
                <w:bCs/>
                <w:snapToGrid w:val="0"/>
              </w:rPr>
            </w:pPr>
            <w:r w:rsidRPr="00C95E6A">
              <w:rPr>
                <w:b/>
                <w:bCs/>
                <w:snapToGrid w:val="0"/>
              </w:rPr>
              <w:lastRenderedPageBreak/>
              <w:t>Neatsižvelgta</w:t>
            </w:r>
            <w:r>
              <w:rPr>
                <w:b/>
                <w:bCs/>
                <w:snapToGrid w:val="0"/>
              </w:rPr>
              <w:t>.</w:t>
            </w:r>
          </w:p>
          <w:p w14:paraId="7F45AB39" w14:textId="4EA8F33A" w:rsidR="00E3798D" w:rsidRDefault="000B4638" w:rsidP="00D33A13">
            <w:pPr>
              <w:widowControl w:val="0"/>
              <w:jc w:val="both"/>
              <w:rPr>
                <w:snapToGrid w:val="0"/>
              </w:rPr>
            </w:pPr>
            <w:r>
              <w:rPr>
                <w:snapToGrid w:val="0"/>
              </w:rPr>
              <w:t xml:space="preserve">Nuostatos dėl licencijų (leidimų, ar kitų patvirtinamųjų dokumentų, priskiriamų licencijoms) rengiamuose teisės </w:t>
            </w:r>
            <w:r>
              <w:rPr>
                <w:snapToGrid w:val="0"/>
              </w:rPr>
              <w:lastRenderedPageBreak/>
              <w:t>aktuose (įstatymuose, poįstatyminiuose teisės aktuose)  nustatomos vadovaujantis</w:t>
            </w:r>
            <w:r w:rsidR="00F94358" w:rsidRPr="00F94358">
              <w:rPr>
                <w:snapToGrid w:val="0"/>
              </w:rPr>
              <w:t xml:space="preserve"> Licencijavimo pagrindų aprašu patvirtintu 2012 m. liepos 18 d. LRV Nutarimu Nr. 937 „Dėl Licencijavimo pagrindų aprašo ir licencijos informacinės sistemos nuostatų patvirtinimo“ (toliau – aprašas). Apraše yra nurodyti reikalavimai taikomi rengiamiems veiklos licencijavimą reguliuojančiuose įstatymuose (18 punktas) ir  reikalavimai taikomi rengiamoms licencijavimo taisyklėms (20 punktas). Šiuose reikalavimuose nėra nuostatų susijusių su terminų, per kurį turi būti priimamai spendimai dėl licencijos galiojimo panaikinimo, nustatymu.</w:t>
            </w:r>
          </w:p>
          <w:p w14:paraId="5A5EC7F9" w14:textId="2EC6AABC" w:rsidR="00D33A13" w:rsidRPr="009F3267" w:rsidRDefault="00D33A13" w:rsidP="00D33A13">
            <w:pPr>
              <w:widowControl w:val="0"/>
              <w:jc w:val="both"/>
              <w:rPr>
                <w:snapToGrid w:val="0"/>
              </w:rPr>
            </w:pPr>
            <w:r>
              <w:rPr>
                <w:snapToGrid w:val="0"/>
              </w:rPr>
              <w:t xml:space="preserve">Apraše nustatyta, kad privalo būti nustatyti terminai </w:t>
            </w:r>
            <w:r>
              <w:rPr>
                <w:color w:val="000000"/>
              </w:rPr>
              <w:t xml:space="preserve">per kurį licencijas išduodantis subjektas turi </w:t>
            </w:r>
            <w:r w:rsidRPr="00C12D05">
              <w:rPr>
                <w:color w:val="000000"/>
                <w:u w:val="single"/>
              </w:rPr>
              <w:t>pranešti</w:t>
            </w:r>
            <w:r>
              <w:rPr>
                <w:color w:val="000000"/>
              </w:rPr>
              <w:t xml:space="preserve"> licencijos turėtojui apie licencijos galiojimo sustabdymą, galiojimo sustabdymo panaikinimą ir galiojimo panaikinimą, licencijos </w:t>
            </w:r>
            <w:r w:rsidRPr="00D33A13">
              <w:rPr>
                <w:color w:val="000000"/>
                <w:u w:val="single"/>
              </w:rPr>
              <w:t>išdavimo</w:t>
            </w:r>
            <w:r>
              <w:rPr>
                <w:color w:val="000000"/>
              </w:rPr>
              <w:t xml:space="preserve"> ir motyvuoto </w:t>
            </w:r>
            <w:r w:rsidRPr="00D33A13">
              <w:rPr>
                <w:color w:val="000000"/>
                <w:u w:val="single"/>
              </w:rPr>
              <w:t>atsisakymo išduoti</w:t>
            </w:r>
            <w:r>
              <w:rPr>
                <w:color w:val="000000"/>
              </w:rPr>
              <w:t xml:space="preserve"> licenciją pateikimo terminas, </w:t>
            </w:r>
            <w:r w:rsidRPr="00D33A13">
              <w:rPr>
                <w:color w:val="000000"/>
                <w:u w:val="single"/>
              </w:rPr>
              <w:t>dokumentų pateikimo</w:t>
            </w:r>
            <w:r>
              <w:rPr>
                <w:color w:val="000000"/>
              </w:rPr>
              <w:t xml:space="preserve"> ar jų </w:t>
            </w:r>
            <w:r w:rsidRPr="00D33A13">
              <w:rPr>
                <w:color w:val="000000"/>
                <w:u w:val="single"/>
              </w:rPr>
              <w:t>patikslinimo</w:t>
            </w:r>
            <w:r>
              <w:rPr>
                <w:color w:val="000000"/>
              </w:rPr>
              <w:t xml:space="preserve"> terminai.</w:t>
            </w:r>
          </w:p>
        </w:tc>
      </w:tr>
    </w:tbl>
    <w:p w14:paraId="711CD6BD" w14:textId="1AA67C1D" w:rsidR="000C5806" w:rsidRPr="009F3267" w:rsidRDefault="0034418E" w:rsidP="009F3267">
      <w:pPr>
        <w:jc w:val="center"/>
      </w:pPr>
      <w:r w:rsidRPr="009F3267">
        <w:lastRenderedPageBreak/>
        <w:t>____________</w:t>
      </w:r>
    </w:p>
    <w:sectPr w:rsidR="000C5806" w:rsidRPr="009F3267" w:rsidSect="000B4638">
      <w:headerReference w:type="default" r:id="rId8"/>
      <w:pgSz w:w="16838" w:h="11906" w:orient="landscape"/>
      <w:pgMar w:top="540" w:right="141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9035" w14:textId="77777777" w:rsidR="00223238" w:rsidRDefault="00223238" w:rsidP="00694944">
      <w:r>
        <w:separator/>
      </w:r>
    </w:p>
  </w:endnote>
  <w:endnote w:type="continuationSeparator" w:id="0">
    <w:p w14:paraId="2EBB13EC" w14:textId="77777777" w:rsidR="00223238" w:rsidRDefault="00223238"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D5B7" w14:textId="77777777" w:rsidR="00223238" w:rsidRDefault="00223238" w:rsidP="00694944">
      <w:r>
        <w:separator/>
      </w:r>
    </w:p>
  </w:footnote>
  <w:footnote w:type="continuationSeparator" w:id="0">
    <w:p w14:paraId="0DC7C677" w14:textId="77777777" w:rsidR="00223238" w:rsidRDefault="00223238" w:rsidP="00694944">
      <w:r>
        <w:continuationSeparator/>
      </w:r>
    </w:p>
  </w:footnote>
  <w:footnote w:id="1">
    <w:p w14:paraId="4EA02576" w14:textId="48D8A835" w:rsidR="002A445E" w:rsidRDefault="002A445E" w:rsidP="002A445E">
      <w:pPr>
        <w:pStyle w:val="Puslapioinaostekstas"/>
        <w:jc w:val="both"/>
      </w:pPr>
      <w:r>
        <w:rPr>
          <w:rStyle w:val="Puslapioinaosnuoroda"/>
        </w:rPr>
        <w:footnoteRef/>
      </w:r>
      <w:r>
        <w:t xml:space="preserve"> Atsižvelgiant į tai, kad </w:t>
      </w:r>
      <w:r w:rsidRPr="002A445E">
        <w:t>2024-2025 metų laikotarpiu pluoštinių kanapių licencijų galiojimo sustabdymo, galiojimo panaikinimo ar patvirtintojo importuotojo statuso panaikinimo atvejų nebuvo</w:t>
      </w:r>
      <w:r>
        <w:t xml:space="preserve"> ir tai, kad pastabų įgyvendinimas </w:t>
      </w:r>
      <w:r w:rsidR="00DD0AF5">
        <w:t xml:space="preserve">galimai </w:t>
      </w:r>
      <w:r>
        <w:t xml:space="preserve">susijęs </w:t>
      </w:r>
      <w:r w:rsidR="00DD0AF5">
        <w:t xml:space="preserve">pirmiausiai </w:t>
      </w:r>
      <w:r>
        <w:t>su Pluoštinių kanapių įstatymo keitimu, rekomendacijų vykdymo terminą rekomenduojama nustatyti su kitais minėto įstatymo pakeitimais, jeigu tokie numatomi.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016090"/>
      <w:docPartObj>
        <w:docPartGallery w:val="Page Numbers (Top of Page)"/>
        <w:docPartUnique/>
      </w:docPartObj>
    </w:sdtPr>
    <w:sdtEndPr/>
    <w:sdtContent>
      <w:p w14:paraId="23885F3B" w14:textId="3639FDDF" w:rsidR="007631E7" w:rsidRDefault="007631E7">
        <w:pPr>
          <w:pStyle w:val="Antrats"/>
          <w:jc w:val="center"/>
        </w:pPr>
        <w:r>
          <w:fldChar w:fldCharType="begin"/>
        </w:r>
        <w:r>
          <w:instrText>PAGE   \* MERGEFORMAT</w:instrText>
        </w:r>
        <w:r>
          <w:fldChar w:fldCharType="separate"/>
        </w:r>
        <w:r>
          <w:t>2</w:t>
        </w:r>
        <w:r>
          <w:fldChar w:fldCharType="end"/>
        </w:r>
      </w:p>
    </w:sdtContent>
  </w:sdt>
  <w:p w14:paraId="372E745C" w14:textId="77777777" w:rsidR="007631E7" w:rsidRDefault="007631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92FBE"/>
    <w:multiLevelType w:val="hybridMultilevel"/>
    <w:tmpl w:val="E7FC6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B72A7"/>
    <w:multiLevelType w:val="multilevel"/>
    <w:tmpl w:val="9984D1AC"/>
    <w:lvl w:ilvl="0">
      <w:start w:val="2"/>
      <w:numFmt w:val="decimal"/>
      <w:lvlText w:val="%1."/>
      <w:lvlJc w:val="left"/>
      <w:pPr>
        <w:ind w:left="360" w:hanging="360"/>
      </w:pPr>
      <w:rPr>
        <w:rFonts w:hint="default"/>
        <w:i/>
      </w:rPr>
    </w:lvl>
    <w:lvl w:ilvl="1">
      <w:start w:val="1"/>
      <w:numFmt w:val="decimal"/>
      <w:lvlText w:val="%1.%2."/>
      <w:lvlJc w:val="left"/>
      <w:pPr>
        <w:ind w:left="1778" w:hanging="360"/>
      </w:pPr>
      <w:rPr>
        <w:rFonts w:hint="default"/>
        <w:i/>
      </w:rPr>
    </w:lvl>
    <w:lvl w:ilvl="2">
      <w:start w:val="1"/>
      <w:numFmt w:val="decimal"/>
      <w:lvlText w:val="%1.%2.%3."/>
      <w:lvlJc w:val="left"/>
      <w:pPr>
        <w:ind w:left="3556" w:hanging="720"/>
      </w:pPr>
      <w:rPr>
        <w:rFonts w:hint="default"/>
        <w:i/>
      </w:rPr>
    </w:lvl>
    <w:lvl w:ilvl="3">
      <w:start w:val="1"/>
      <w:numFmt w:val="decimal"/>
      <w:lvlText w:val="%1.%2.%3.%4."/>
      <w:lvlJc w:val="left"/>
      <w:pPr>
        <w:ind w:left="4974" w:hanging="720"/>
      </w:pPr>
      <w:rPr>
        <w:rFonts w:hint="default"/>
        <w:i/>
      </w:rPr>
    </w:lvl>
    <w:lvl w:ilvl="4">
      <w:start w:val="1"/>
      <w:numFmt w:val="decimal"/>
      <w:lvlText w:val="%1.%2.%3.%4.%5."/>
      <w:lvlJc w:val="left"/>
      <w:pPr>
        <w:ind w:left="6752" w:hanging="1080"/>
      </w:pPr>
      <w:rPr>
        <w:rFonts w:hint="default"/>
        <w:i/>
      </w:rPr>
    </w:lvl>
    <w:lvl w:ilvl="5">
      <w:start w:val="1"/>
      <w:numFmt w:val="decimal"/>
      <w:lvlText w:val="%1.%2.%3.%4.%5.%6."/>
      <w:lvlJc w:val="left"/>
      <w:pPr>
        <w:ind w:left="8170" w:hanging="1080"/>
      </w:pPr>
      <w:rPr>
        <w:rFonts w:hint="default"/>
        <w:i/>
      </w:rPr>
    </w:lvl>
    <w:lvl w:ilvl="6">
      <w:start w:val="1"/>
      <w:numFmt w:val="decimal"/>
      <w:lvlText w:val="%1.%2.%3.%4.%5.%6.%7."/>
      <w:lvlJc w:val="left"/>
      <w:pPr>
        <w:ind w:left="9948" w:hanging="1440"/>
      </w:pPr>
      <w:rPr>
        <w:rFonts w:hint="default"/>
        <w:i/>
      </w:rPr>
    </w:lvl>
    <w:lvl w:ilvl="7">
      <w:start w:val="1"/>
      <w:numFmt w:val="decimal"/>
      <w:lvlText w:val="%1.%2.%3.%4.%5.%6.%7.%8."/>
      <w:lvlJc w:val="left"/>
      <w:pPr>
        <w:ind w:left="11366" w:hanging="1440"/>
      </w:pPr>
      <w:rPr>
        <w:rFonts w:hint="default"/>
        <w:i/>
      </w:rPr>
    </w:lvl>
    <w:lvl w:ilvl="8">
      <w:start w:val="1"/>
      <w:numFmt w:val="decimal"/>
      <w:lvlText w:val="%1.%2.%3.%4.%5.%6.%7.%8.%9."/>
      <w:lvlJc w:val="left"/>
      <w:pPr>
        <w:ind w:left="13144" w:hanging="1800"/>
      </w:pPr>
      <w:rPr>
        <w:rFonts w:hint="default"/>
        <w:i/>
      </w:rPr>
    </w:lvl>
  </w:abstractNum>
  <w:abstractNum w:abstractNumId="2" w15:restartNumberingAfterBreak="0">
    <w:nsid w:val="72F15AC1"/>
    <w:multiLevelType w:val="hybridMultilevel"/>
    <w:tmpl w:val="39944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3773189">
    <w:abstractNumId w:val="2"/>
  </w:num>
  <w:num w:numId="2" w16cid:durableId="862550216">
    <w:abstractNumId w:val="1"/>
  </w:num>
  <w:num w:numId="3" w16cid:durableId="154220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1321E"/>
    <w:rsid w:val="00014C02"/>
    <w:rsid w:val="000335EC"/>
    <w:rsid w:val="000450E5"/>
    <w:rsid w:val="00050BD3"/>
    <w:rsid w:val="00052261"/>
    <w:rsid w:val="000547CD"/>
    <w:rsid w:val="00065FE8"/>
    <w:rsid w:val="00071307"/>
    <w:rsid w:val="00075116"/>
    <w:rsid w:val="000A0CE2"/>
    <w:rsid w:val="000B4638"/>
    <w:rsid w:val="000B79F1"/>
    <w:rsid w:val="000C5806"/>
    <w:rsid w:val="000D3FAE"/>
    <w:rsid w:val="000D63E8"/>
    <w:rsid w:val="001028BD"/>
    <w:rsid w:val="00114E9B"/>
    <w:rsid w:val="001315E0"/>
    <w:rsid w:val="00143395"/>
    <w:rsid w:val="0016538A"/>
    <w:rsid w:val="001C4A87"/>
    <w:rsid w:val="00205E41"/>
    <w:rsid w:val="0021170B"/>
    <w:rsid w:val="00223238"/>
    <w:rsid w:val="00224207"/>
    <w:rsid w:val="00224C52"/>
    <w:rsid w:val="00224C73"/>
    <w:rsid w:val="00233C9A"/>
    <w:rsid w:val="00234BFD"/>
    <w:rsid w:val="002634D1"/>
    <w:rsid w:val="00281C3F"/>
    <w:rsid w:val="00290A84"/>
    <w:rsid w:val="002A25C3"/>
    <w:rsid w:val="002A37BD"/>
    <w:rsid w:val="002A445E"/>
    <w:rsid w:val="002A7BAD"/>
    <w:rsid w:val="002D47F3"/>
    <w:rsid w:val="002E0B07"/>
    <w:rsid w:val="00332956"/>
    <w:rsid w:val="003427F0"/>
    <w:rsid w:val="0034418E"/>
    <w:rsid w:val="00344C31"/>
    <w:rsid w:val="003478BA"/>
    <w:rsid w:val="00347D95"/>
    <w:rsid w:val="00351B96"/>
    <w:rsid w:val="00372F82"/>
    <w:rsid w:val="00374DB3"/>
    <w:rsid w:val="0037500E"/>
    <w:rsid w:val="003826DC"/>
    <w:rsid w:val="00383F51"/>
    <w:rsid w:val="00386CCA"/>
    <w:rsid w:val="00396230"/>
    <w:rsid w:val="003B40F4"/>
    <w:rsid w:val="003C26B8"/>
    <w:rsid w:val="003E50E6"/>
    <w:rsid w:val="003E7DC1"/>
    <w:rsid w:val="003F28BB"/>
    <w:rsid w:val="00415304"/>
    <w:rsid w:val="0042219A"/>
    <w:rsid w:val="004374A2"/>
    <w:rsid w:val="00440BF9"/>
    <w:rsid w:val="00442AB7"/>
    <w:rsid w:val="00466434"/>
    <w:rsid w:val="004A4133"/>
    <w:rsid w:val="004D1119"/>
    <w:rsid w:val="004D301D"/>
    <w:rsid w:val="004D5592"/>
    <w:rsid w:val="00510C28"/>
    <w:rsid w:val="00513941"/>
    <w:rsid w:val="00521686"/>
    <w:rsid w:val="005436DF"/>
    <w:rsid w:val="00545BA4"/>
    <w:rsid w:val="00554BE0"/>
    <w:rsid w:val="005C0FA7"/>
    <w:rsid w:val="005D4659"/>
    <w:rsid w:val="005E1894"/>
    <w:rsid w:val="005F4232"/>
    <w:rsid w:val="00605706"/>
    <w:rsid w:val="00612695"/>
    <w:rsid w:val="006165AC"/>
    <w:rsid w:val="00620071"/>
    <w:rsid w:val="006247A8"/>
    <w:rsid w:val="00625300"/>
    <w:rsid w:val="00636DA0"/>
    <w:rsid w:val="006456AC"/>
    <w:rsid w:val="00651DA4"/>
    <w:rsid w:val="00677CD1"/>
    <w:rsid w:val="0068425C"/>
    <w:rsid w:val="00694944"/>
    <w:rsid w:val="00695379"/>
    <w:rsid w:val="00696788"/>
    <w:rsid w:val="006B4831"/>
    <w:rsid w:val="006C2B00"/>
    <w:rsid w:val="006D4BE2"/>
    <w:rsid w:val="006E51D9"/>
    <w:rsid w:val="007062F8"/>
    <w:rsid w:val="00710319"/>
    <w:rsid w:val="007271E0"/>
    <w:rsid w:val="007631E7"/>
    <w:rsid w:val="0076487D"/>
    <w:rsid w:val="007920CD"/>
    <w:rsid w:val="007B6794"/>
    <w:rsid w:val="007D0B34"/>
    <w:rsid w:val="007D7904"/>
    <w:rsid w:val="007E5047"/>
    <w:rsid w:val="00827D3F"/>
    <w:rsid w:val="00852A24"/>
    <w:rsid w:val="008664F9"/>
    <w:rsid w:val="00870852"/>
    <w:rsid w:val="008761B2"/>
    <w:rsid w:val="0087731A"/>
    <w:rsid w:val="00877D91"/>
    <w:rsid w:val="008A3A31"/>
    <w:rsid w:val="008A7E5D"/>
    <w:rsid w:val="008B3F80"/>
    <w:rsid w:val="008B7642"/>
    <w:rsid w:val="008D6E6D"/>
    <w:rsid w:val="008E4286"/>
    <w:rsid w:val="008E75B9"/>
    <w:rsid w:val="008F6DF3"/>
    <w:rsid w:val="00904C13"/>
    <w:rsid w:val="00914C32"/>
    <w:rsid w:val="0092489F"/>
    <w:rsid w:val="00936AAB"/>
    <w:rsid w:val="009374B9"/>
    <w:rsid w:val="00942038"/>
    <w:rsid w:val="0095529F"/>
    <w:rsid w:val="0096190D"/>
    <w:rsid w:val="00965F2D"/>
    <w:rsid w:val="0097161D"/>
    <w:rsid w:val="00974F41"/>
    <w:rsid w:val="00991488"/>
    <w:rsid w:val="009D6257"/>
    <w:rsid w:val="009E2CE9"/>
    <w:rsid w:val="009E5A48"/>
    <w:rsid w:val="009F0FAC"/>
    <w:rsid w:val="009F0FE4"/>
    <w:rsid w:val="009F3267"/>
    <w:rsid w:val="009F6667"/>
    <w:rsid w:val="00A12C01"/>
    <w:rsid w:val="00A333F3"/>
    <w:rsid w:val="00A35677"/>
    <w:rsid w:val="00A370BE"/>
    <w:rsid w:val="00A440CC"/>
    <w:rsid w:val="00A72329"/>
    <w:rsid w:val="00A76256"/>
    <w:rsid w:val="00AA213C"/>
    <w:rsid w:val="00AF0532"/>
    <w:rsid w:val="00B13C66"/>
    <w:rsid w:val="00B14CAE"/>
    <w:rsid w:val="00B176FF"/>
    <w:rsid w:val="00B2318E"/>
    <w:rsid w:val="00B55C77"/>
    <w:rsid w:val="00B72FC3"/>
    <w:rsid w:val="00B85DA1"/>
    <w:rsid w:val="00B922E7"/>
    <w:rsid w:val="00B92DE2"/>
    <w:rsid w:val="00B95F5D"/>
    <w:rsid w:val="00B96EAF"/>
    <w:rsid w:val="00BA0F13"/>
    <w:rsid w:val="00BA4AD1"/>
    <w:rsid w:val="00BB32CD"/>
    <w:rsid w:val="00BB337D"/>
    <w:rsid w:val="00BC78B3"/>
    <w:rsid w:val="00BE001D"/>
    <w:rsid w:val="00C10A91"/>
    <w:rsid w:val="00C12D05"/>
    <w:rsid w:val="00C20B8F"/>
    <w:rsid w:val="00C4211E"/>
    <w:rsid w:val="00C50572"/>
    <w:rsid w:val="00C53629"/>
    <w:rsid w:val="00C71D48"/>
    <w:rsid w:val="00C8424F"/>
    <w:rsid w:val="00C95E6A"/>
    <w:rsid w:val="00CA44FA"/>
    <w:rsid w:val="00CB2196"/>
    <w:rsid w:val="00CB29EB"/>
    <w:rsid w:val="00CD0C70"/>
    <w:rsid w:val="00CE7073"/>
    <w:rsid w:val="00CF01C3"/>
    <w:rsid w:val="00CF0F34"/>
    <w:rsid w:val="00CF124E"/>
    <w:rsid w:val="00D04430"/>
    <w:rsid w:val="00D069C4"/>
    <w:rsid w:val="00D10CB5"/>
    <w:rsid w:val="00D25407"/>
    <w:rsid w:val="00D33A13"/>
    <w:rsid w:val="00D36C97"/>
    <w:rsid w:val="00D501F3"/>
    <w:rsid w:val="00D5517D"/>
    <w:rsid w:val="00D6197C"/>
    <w:rsid w:val="00D75848"/>
    <w:rsid w:val="00D75BBB"/>
    <w:rsid w:val="00D8289C"/>
    <w:rsid w:val="00D83A91"/>
    <w:rsid w:val="00D94FC2"/>
    <w:rsid w:val="00DA4968"/>
    <w:rsid w:val="00DB2DF4"/>
    <w:rsid w:val="00DC69D4"/>
    <w:rsid w:val="00DC6B9F"/>
    <w:rsid w:val="00DD0AF5"/>
    <w:rsid w:val="00DD5E8B"/>
    <w:rsid w:val="00DE7AFF"/>
    <w:rsid w:val="00DF720D"/>
    <w:rsid w:val="00E02242"/>
    <w:rsid w:val="00E02EBD"/>
    <w:rsid w:val="00E16E6E"/>
    <w:rsid w:val="00E20495"/>
    <w:rsid w:val="00E35308"/>
    <w:rsid w:val="00E3798D"/>
    <w:rsid w:val="00E4470A"/>
    <w:rsid w:val="00E609B0"/>
    <w:rsid w:val="00E6142A"/>
    <w:rsid w:val="00E77684"/>
    <w:rsid w:val="00E85D39"/>
    <w:rsid w:val="00E861D6"/>
    <w:rsid w:val="00EA3287"/>
    <w:rsid w:val="00EA5B69"/>
    <w:rsid w:val="00EB222B"/>
    <w:rsid w:val="00EB4AB8"/>
    <w:rsid w:val="00ED1AE2"/>
    <w:rsid w:val="00ED1B0F"/>
    <w:rsid w:val="00ED3B98"/>
    <w:rsid w:val="00EE22BD"/>
    <w:rsid w:val="00EF068B"/>
    <w:rsid w:val="00EF17E9"/>
    <w:rsid w:val="00EF324B"/>
    <w:rsid w:val="00EF7971"/>
    <w:rsid w:val="00F30F7A"/>
    <w:rsid w:val="00F42CFC"/>
    <w:rsid w:val="00F45705"/>
    <w:rsid w:val="00F51928"/>
    <w:rsid w:val="00F53439"/>
    <w:rsid w:val="00F56C1D"/>
    <w:rsid w:val="00F70692"/>
    <w:rsid w:val="00F94358"/>
    <w:rsid w:val="00FA5D69"/>
    <w:rsid w:val="00FA79CD"/>
    <w:rsid w:val="00FB4EF5"/>
    <w:rsid w:val="00FC2FDD"/>
    <w:rsid w:val="00FC7F04"/>
    <w:rsid w:val="00FD2430"/>
    <w:rsid w:val="00FF7E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D7736D49-E140-4F46-A12B-F8F18DAA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qFormat/>
    <w:rsid w:val="00694944"/>
    <w:rPr>
      <w:rFonts w:ascii="Arial" w:eastAsia="Calibri" w:hAnsi="Arial" w:cs="Times New Roman"/>
      <w:sz w:val="20"/>
      <w:szCs w:val="20"/>
      <w:lang w:eastAsia="lt-LT"/>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7500E"/>
    <w:pPr>
      <w:ind w:left="720"/>
      <w:contextualSpacing/>
    </w:pPr>
    <w:rPr>
      <w:szCs w:val="20"/>
      <w:lang w:eastAsia="en-US"/>
    </w:rPr>
  </w:style>
  <w:style w:type="character" w:customStyle="1" w:styleId="tekstopagrindinis">
    <w:name w:val="teksto pagrindinis"/>
    <w:basedOn w:val="Numatytasispastraiposriftas"/>
    <w:qFormat/>
    <w:rsid w:val="00386CCA"/>
    <w:rPr>
      <w:rFonts w:ascii="Times New Roman" w:hAnsi="Times New Roman"/>
      <w:color w:val="auto"/>
      <w:sz w:val="24"/>
    </w:rPr>
  </w:style>
  <w:style w:type="paragraph" w:styleId="Antrats">
    <w:name w:val="header"/>
    <w:basedOn w:val="prastasis"/>
    <w:link w:val="AntratsDiagrama"/>
    <w:uiPriority w:val="99"/>
    <w:unhideWhenUsed/>
    <w:rsid w:val="007631E7"/>
    <w:pPr>
      <w:tabs>
        <w:tab w:val="center" w:pos="4819"/>
        <w:tab w:val="right" w:pos="9638"/>
      </w:tabs>
    </w:pPr>
  </w:style>
  <w:style w:type="character" w:customStyle="1" w:styleId="AntratsDiagrama">
    <w:name w:val="Antraštės Diagrama"/>
    <w:basedOn w:val="Numatytasispastraiposriftas"/>
    <w:link w:val="Antrats"/>
    <w:uiPriority w:val="99"/>
    <w:rsid w:val="007631E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631E7"/>
    <w:pPr>
      <w:tabs>
        <w:tab w:val="center" w:pos="4819"/>
        <w:tab w:val="right" w:pos="9638"/>
      </w:tabs>
    </w:pPr>
  </w:style>
  <w:style w:type="character" w:customStyle="1" w:styleId="PoratDiagrama">
    <w:name w:val="Poraštė Diagrama"/>
    <w:basedOn w:val="Numatytasispastraiposriftas"/>
    <w:link w:val="Porat"/>
    <w:uiPriority w:val="99"/>
    <w:rsid w:val="007631E7"/>
    <w:rPr>
      <w:rFonts w:ascii="Times New Roman" w:eastAsia="Times New Roman" w:hAnsi="Times New Roman" w:cs="Times New Roman"/>
      <w:sz w:val="24"/>
      <w:szCs w:val="24"/>
      <w:lang w:eastAsia="lt-LT"/>
    </w:rPr>
  </w:style>
  <w:style w:type="character" w:customStyle="1" w:styleId="clear3">
    <w:name w:val="clear3"/>
    <w:basedOn w:val="Numatytasispastraiposriftas"/>
    <w:rsid w:val="00877D91"/>
  </w:style>
  <w:style w:type="character" w:styleId="Hipersaitas">
    <w:name w:val="Hyperlink"/>
    <w:basedOn w:val="Numatytasispastraiposriftas"/>
    <w:uiPriority w:val="99"/>
    <w:unhideWhenUsed/>
    <w:rsid w:val="00BA0F13"/>
    <w:rPr>
      <w:color w:val="0563C1" w:themeColor="hyperlink"/>
      <w:u w:val="single"/>
    </w:rPr>
  </w:style>
  <w:style w:type="character" w:styleId="Neapdorotaspaminjimas">
    <w:name w:val="Unresolved Mention"/>
    <w:basedOn w:val="Numatytasispastraiposriftas"/>
    <w:uiPriority w:val="99"/>
    <w:semiHidden/>
    <w:unhideWhenUsed/>
    <w:rsid w:val="00BA0F13"/>
    <w:rPr>
      <w:color w:val="605E5C"/>
      <w:shd w:val="clear" w:color="auto" w:fill="E1DFDD"/>
    </w:rPr>
  </w:style>
  <w:style w:type="paragraph" w:styleId="Pataisymai">
    <w:name w:val="Revision"/>
    <w:hidden/>
    <w:uiPriority w:val="99"/>
    <w:semiHidden/>
    <w:rsid w:val="00052261"/>
    <w:pPr>
      <w:spacing w:line="240" w:lineRule="auto"/>
      <w:ind w:firstLine="0"/>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052261"/>
    <w:rPr>
      <w:sz w:val="16"/>
      <w:szCs w:val="16"/>
    </w:rPr>
  </w:style>
  <w:style w:type="paragraph" w:styleId="Komentarotekstas">
    <w:name w:val="annotation text"/>
    <w:basedOn w:val="prastasis"/>
    <w:link w:val="KomentarotekstasDiagrama"/>
    <w:uiPriority w:val="99"/>
    <w:unhideWhenUsed/>
    <w:rsid w:val="00052261"/>
    <w:rPr>
      <w:sz w:val="20"/>
      <w:szCs w:val="20"/>
    </w:rPr>
  </w:style>
  <w:style w:type="character" w:customStyle="1" w:styleId="KomentarotekstasDiagrama">
    <w:name w:val="Komentaro tekstas Diagrama"/>
    <w:basedOn w:val="Numatytasispastraiposriftas"/>
    <w:link w:val="Komentarotekstas"/>
    <w:uiPriority w:val="99"/>
    <w:rsid w:val="0005226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52261"/>
    <w:rPr>
      <w:b/>
      <w:bCs/>
    </w:rPr>
  </w:style>
  <w:style w:type="character" w:customStyle="1" w:styleId="KomentarotemaDiagrama">
    <w:name w:val="Komentaro tema Diagrama"/>
    <w:basedOn w:val="KomentarotekstasDiagrama"/>
    <w:link w:val="Komentarotema"/>
    <w:uiPriority w:val="99"/>
    <w:semiHidden/>
    <w:rsid w:val="00052261"/>
    <w:rPr>
      <w:rFonts w:ascii="Times New Roman" w:eastAsia="Times New Roman" w:hAnsi="Times New Roman" w:cs="Times New Roman"/>
      <w:b/>
      <w:bCs/>
      <w:sz w:val="20"/>
      <w:szCs w:val="20"/>
      <w:lang w:eastAsia="lt-LT"/>
    </w:rPr>
  </w:style>
  <w:style w:type="paragraph" w:styleId="Betarp">
    <w:name w:val="No Spacing"/>
    <w:basedOn w:val="prastasis"/>
    <w:uiPriority w:val="1"/>
    <w:qFormat/>
    <w:rsid w:val="00EB4AB8"/>
    <w:pPr>
      <w:overflowPunct w:val="0"/>
      <w:autoSpaceDE w:val="0"/>
      <w:autoSpaceDN w:val="0"/>
    </w:pPr>
    <w:rPr>
      <w:rFonts w:ascii="TimesLT" w:eastAsiaTheme="minorHAnsi" w:hAnsi="TimesLT"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28078">
      <w:bodyDiv w:val="1"/>
      <w:marLeft w:val="0"/>
      <w:marRight w:val="0"/>
      <w:marTop w:val="0"/>
      <w:marBottom w:val="0"/>
      <w:divBdr>
        <w:top w:val="none" w:sz="0" w:space="0" w:color="auto"/>
        <w:left w:val="none" w:sz="0" w:space="0" w:color="auto"/>
        <w:bottom w:val="none" w:sz="0" w:space="0" w:color="auto"/>
        <w:right w:val="none" w:sz="0" w:space="0" w:color="auto"/>
      </w:divBdr>
    </w:div>
    <w:div w:id="1509951037">
      <w:bodyDiv w:val="1"/>
      <w:marLeft w:val="0"/>
      <w:marRight w:val="0"/>
      <w:marTop w:val="0"/>
      <w:marBottom w:val="0"/>
      <w:divBdr>
        <w:top w:val="none" w:sz="0" w:space="0" w:color="auto"/>
        <w:left w:val="none" w:sz="0" w:space="0" w:color="auto"/>
        <w:bottom w:val="none" w:sz="0" w:space="0" w:color="auto"/>
        <w:right w:val="none" w:sz="0" w:space="0" w:color="auto"/>
      </w:divBdr>
    </w:div>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B3FC5-19BD-48D2-ABEA-6D72B519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3605</Words>
  <Characters>2056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STT</dc:creator>
  <cp:keywords/>
  <dc:description/>
  <cp:lastModifiedBy>Rasa Tašlinskienė</cp:lastModifiedBy>
  <cp:revision>2</cp:revision>
  <dcterms:created xsi:type="dcterms:W3CDTF">2026-02-09T07:13:00Z</dcterms:created>
  <dcterms:modified xsi:type="dcterms:W3CDTF">2026-02-09T07:13:00Z</dcterms:modified>
</cp:coreProperties>
</file>