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213EA210" w:rsidR="00AA0B5E" w:rsidRPr="00C6375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C6375B">
        <w:rPr>
          <w:b/>
          <w:sz w:val="28"/>
          <w:szCs w:val="28"/>
        </w:rPr>
        <w:t xml:space="preserve"> 2025 M. SAUSIO–RUGSĖJO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636D85C" w:rsidR="00C74A0B" w:rsidRPr="00C50475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475">
        <w:rPr>
          <w:b/>
          <w:sz w:val="28"/>
          <w:szCs w:val="28"/>
        </w:rPr>
        <w:t>2025 M.</w:t>
      </w:r>
    </w:p>
    <w:p w14:paraId="6B5FF7A0" w14:textId="65FCA4F1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DE4230">
        <w:rPr>
          <w:szCs w:val="24"/>
        </w:rPr>
        <w:t>sausio</w:t>
      </w:r>
      <w:r w:rsidR="00A53F9B">
        <w:rPr>
          <w:szCs w:val="24"/>
        </w:rPr>
        <w:t>–</w:t>
      </w:r>
      <w:r w:rsidR="00DE4230">
        <w:rPr>
          <w:szCs w:val="24"/>
        </w:rPr>
        <w:t>rugsėjo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DE4230">
        <w:rPr>
          <w:szCs w:val="24"/>
          <w:lang w:val="en-US"/>
        </w:rPr>
        <w:t>5495,8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741C59">
        <w:rPr>
          <w:szCs w:val="24"/>
          <w:lang w:val="en-US"/>
        </w:rPr>
        <w:t>3,1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741C59">
        <w:rPr>
          <w:szCs w:val="24"/>
          <w:lang w:val="en-US"/>
        </w:rPr>
        <w:t>4396,8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741C59">
        <w:rPr>
          <w:szCs w:val="24"/>
          <w:lang w:val="en-US"/>
        </w:rPr>
        <w:t>7,0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741C59">
        <w:rPr>
          <w:szCs w:val="24"/>
          <w:lang w:val="en-US"/>
        </w:rPr>
        <w:t>1099,0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741C59">
        <w:rPr>
          <w:szCs w:val="24"/>
          <w:lang w:val="en-US"/>
        </w:rPr>
        <w:t>10,1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2D076B3E" w:rsidR="006E16D2" w:rsidRPr="00C6458F" w:rsidRDefault="00A53F9B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741C59">
        <w:rPr>
          <w:szCs w:val="24"/>
        </w:rPr>
        <w:t>sausio</w:t>
      </w:r>
      <w:r>
        <w:rPr>
          <w:szCs w:val="24"/>
        </w:rPr>
        <w:t>–</w:t>
      </w:r>
      <w:r w:rsidR="00741C59">
        <w:rPr>
          <w:szCs w:val="24"/>
        </w:rPr>
        <w:t>rugsėjo</w:t>
      </w:r>
      <w:r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741C59">
        <w:rPr>
          <w:szCs w:val="24"/>
        </w:rPr>
        <w:t>20,0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>
        <w:rPr>
          <w:szCs w:val="24"/>
        </w:rPr>
        <w:t xml:space="preserve">2024 m. </w:t>
      </w:r>
      <w:r w:rsidR="00741C59">
        <w:rPr>
          <w:szCs w:val="24"/>
        </w:rPr>
        <w:t>sausio</w:t>
      </w:r>
      <w:r>
        <w:rPr>
          <w:szCs w:val="24"/>
        </w:rPr>
        <w:t>–</w:t>
      </w:r>
      <w:r w:rsidR="00741C59">
        <w:rPr>
          <w:szCs w:val="24"/>
        </w:rPr>
        <w:t>rugsėjo</w:t>
      </w:r>
      <w:r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741C59">
        <w:rPr>
          <w:szCs w:val="24"/>
        </w:rPr>
        <w:t>0,8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741C59">
        <w:rPr>
          <w:szCs w:val="24"/>
          <w:lang w:val="en-US"/>
        </w:rPr>
        <w:t>13,5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1D7FB5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741C59">
        <w:rPr>
          <w:szCs w:val="24"/>
        </w:rPr>
        <w:t>0,2</w:t>
      </w:r>
      <w:r w:rsidR="004369CA">
        <w:rPr>
          <w:szCs w:val="24"/>
        </w:rPr>
        <w:t xml:space="preserve"> procentinio punkto.</w:t>
      </w:r>
    </w:p>
    <w:p w14:paraId="0313742D" w14:textId="73070BEC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741C59">
        <w:rPr>
          <w:szCs w:val="24"/>
        </w:rPr>
        <w:t>4313,3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741C59">
        <w:rPr>
          <w:szCs w:val="24"/>
        </w:rPr>
        <w:t>rugsėjo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1D7FB5">
        <w:t>padidėjo</w:t>
      </w:r>
      <w:r w:rsidR="003E0979">
        <w:t xml:space="preserve"> </w:t>
      </w:r>
      <w:r w:rsidR="00741C59">
        <w:t>109</w:t>
      </w:r>
      <w:r w:rsidR="002977AA">
        <w:t>,1</w:t>
      </w:r>
      <w:r w:rsidR="003E0979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2977AA">
        <w:rPr>
          <w:szCs w:val="24"/>
          <w:lang w:val="en-US"/>
        </w:rPr>
        <w:t>2,6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76284A14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2977AA">
        <w:rPr>
          <w:szCs w:val="24"/>
        </w:rPr>
        <w:t>rugsėjo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 xml:space="preserve">žemės ūkio ir maisto produktų eksportas </w:t>
      </w:r>
      <w:r w:rsidR="00832F9D">
        <w:rPr>
          <w:szCs w:val="24"/>
        </w:rPr>
        <w:t>išlieka</w:t>
      </w:r>
      <w:r w:rsidR="00935974">
        <w:rPr>
          <w:szCs w:val="24"/>
        </w:rPr>
        <w:t xml:space="preserve"> santykinai </w:t>
      </w:r>
      <w:r w:rsidR="00832F9D">
        <w:rPr>
          <w:szCs w:val="24"/>
        </w:rPr>
        <w:t xml:space="preserve">stabilus. 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 stabilumas tampa svarbus visai Lietuvos ekonomikai.</w:t>
      </w:r>
    </w:p>
    <w:p w14:paraId="1702DB9A" w14:textId="4E756F64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2025 m. </w:t>
      </w:r>
      <w:r w:rsidR="00AD580F">
        <w:rPr>
          <w:szCs w:val="24"/>
        </w:rPr>
        <w:t>sausio</w:t>
      </w:r>
      <w:r w:rsidR="006D2857">
        <w:rPr>
          <w:szCs w:val="24"/>
        </w:rPr>
        <w:t>–</w:t>
      </w:r>
      <w:r w:rsidR="00AD580F">
        <w:rPr>
          <w:szCs w:val="24"/>
        </w:rPr>
        <w:t>rugsėjo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AD580F">
        <w:rPr>
          <w:szCs w:val="24"/>
          <w:lang w:val="en-US"/>
        </w:rPr>
        <w:t>2655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AD580F">
        <w:rPr>
          <w:szCs w:val="24"/>
          <w:lang w:val="en-US"/>
        </w:rPr>
        <w:t>9,1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2024 m. </w:t>
      </w:r>
      <w:r w:rsidR="00AD580F">
        <w:rPr>
          <w:szCs w:val="24"/>
        </w:rPr>
        <w:t>sausio</w:t>
      </w:r>
      <w:r w:rsidR="006D2857">
        <w:rPr>
          <w:szCs w:val="24"/>
        </w:rPr>
        <w:t>–</w:t>
      </w:r>
      <w:r w:rsidR="00AD580F">
        <w:rPr>
          <w:szCs w:val="24"/>
        </w:rPr>
        <w:t>rugsėjo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AD580F">
        <w:rPr>
          <w:szCs w:val="24"/>
          <w:lang w:val="en-US"/>
        </w:rPr>
        <w:t>534</w:t>
      </w:r>
      <w:r w:rsidR="00956E0D" w:rsidRPr="00F74443">
        <w:rPr>
          <w:szCs w:val="24"/>
        </w:rPr>
        <w:t xml:space="preserve"> tūkst. t arba </w:t>
      </w:r>
      <w:r w:rsidR="00AD580F">
        <w:rPr>
          <w:szCs w:val="24"/>
          <w:lang w:val="en-US"/>
        </w:rPr>
        <w:t>15,9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417FAC27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AD580F">
        <w:rPr>
          <w:szCs w:val="24"/>
          <w:lang w:val="en-US"/>
        </w:rPr>
        <w:t>222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AD580F">
        <w:rPr>
          <w:szCs w:val="24"/>
          <w:lang w:val="en-US"/>
        </w:rPr>
        <w:t>5,7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A94129">
        <w:rPr>
          <w:szCs w:val="24"/>
        </w:rPr>
        <w:t xml:space="preserve"> </w:t>
      </w:r>
      <w:r w:rsidR="002D0901">
        <w:rPr>
          <w:szCs w:val="24"/>
        </w:rPr>
        <w:t xml:space="preserve">2024 m. </w:t>
      </w:r>
      <w:r w:rsidR="00AD580F">
        <w:rPr>
          <w:szCs w:val="24"/>
        </w:rPr>
        <w:t>sausio</w:t>
      </w:r>
      <w:r w:rsidR="002D0901">
        <w:rPr>
          <w:szCs w:val="24"/>
        </w:rPr>
        <w:t>–</w:t>
      </w:r>
      <w:r w:rsidR="00AD580F">
        <w:rPr>
          <w:szCs w:val="24"/>
        </w:rPr>
        <w:t>rugsėjo</w:t>
      </w:r>
      <w:r w:rsidR="002D0901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AD580F">
        <w:rPr>
          <w:szCs w:val="24"/>
        </w:rPr>
        <w:t>1071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AD580F">
        <w:rPr>
          <w:szCs w:val="24"/>
          <w:lang w:val="en-US"/>
        </w:rPr>
        <w:t>1,8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 xml:space="preserve">nei 2024 m. </w:t>
      </w:r>
      <w:r w:rsidR="00B70566">
        <w:rPr>
          <w:szCs w:val="24"/>
        </w:rPr>
        <w:t>sausio</w:t>
      </w:r>
      <w:r w:rsidR="002D0901">
        <w:rPr>
          <w:szCs w:val="24"/>
        </w:rPr>
        <w:t>–</w:t>
      </w:r>
      <w:r w:rsidR="00B70566">
        <w:rPr>
          <w:szCs w:val="24"/>
        </w:rPr>
        <w:t>rugsėjo</w:t>
      </w:r>
      <w:r w:rsidR="002D0901">
        <w:rPr>
          <w:szCs w:val="24"/>
        </w:rPr>
        <w:t xml:space="preserve"> mėn. (2 lentelė).</w:t>
      </w:r>
    </w:p>
    <w:p w14:paraId="2AA7A179" w14:textId="3BE17E6B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764F88">
        <w:rPr>
          <w:szCs w:val="24"/>
        </w:rPr>
        <w:t>rugsėjo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764F88">
        <w:rPr>
          <w:szCs w:val="24"/>
        </w:rPr>
        <w:t>rugsėjo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31FB13FB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8A0BE4">
        <w:rPr>
          <w:bCs/>
          <w:szCs w:val="24"/>
        </w:rPr>
        <w:t>rugsėjo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8A0BE4">
        <w:rPr>
          <w:szCs w:val="24"/>
        </w:rPr>
        <w:t>rugsėjo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7351F49C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0D1CAC">
        <w:t xml:space="preserve"> </w:t>
      </w:r>
      <w:r w:rsidR="002D0901">
        <w:t xml:space="preserve">2025 m. </w:t>
      </w:r>
      <w:r w:rsidR="008A0BE4">
        <w:t>sausio</w:t>
      </w:r>
      <w:r w:rsidR="002D0901">
        <w:t>–</w:t>
      </w:r>
      <w:r w:rsidR="008A0BE4">
        <w:t>rugsėjo</w:t>
      </w:r>
      <w:r w:rsidR="002D0901">
        <w:t xml:space="preserve"> mėn.</w:t>
      </w:r>
      <w:r w:rsidR="000D1CAC">
        <w:t xml:space="preserve"> </w:t>
      </w:r>
      <w:r w:rsidRPr="006F2032">
        <w:t>pateikti 8 lentelėje.</w:t>
      </w:r>
    </w:p>
    <w:p w14:paraId="40A59B8B" w14:textId="596B957B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8A0BE4">
        <w:rPr>
          <w:bCs/>
          <w:szCs w:val="24"/>
        </w:rPr>
        <w:t>rugsėjo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8A0BE4">
        <w:rPr>
          <w:szCs w:val="24"/>
        </w:rPr>
        <w:t>rugsėjo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22B084EC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8A0BE4">
        <w:rPr>
          <w:szCs w:val="24"/>
        </w:rPr>
        <w:t>rugsėjo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8A0BE4">
        <w:rPr>
          <w:szCs w:val="24"/>
        </w:rPr>
        <w:t>rugpjūčio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0B36B98C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lastRenderedPageBreak/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FC28DB">
        <w:rPr>
          <w:bCs/>
          <w:szCs w:val="24"/>
        </w:rPr>
        <w:t>spalio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FC28DB">
        <w:rPr>
          <w:szCs w:val="24"/>
        </w:rPr>
        <w:t>spalio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FC28DB">
        <w:rPr>
          <w:szCs w:val="24"/>
          <w:lang w:val="en-US"/>
        </w:rPr>
        <w:t>5,2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FC28DB">
        <w:rPr>
          <w:szCs w:val="24"/>
        </w:rPr>
        <w:t>mėsa ir jos produktai</w:t>
      </w:r>
      <w:r w:rsidR="00970BFB">
        <w:rPr>
          <w:szCs w:val="24"/>
        </w:rPr>
        <w:t xml:space="preserve"> – </w:t>
      </w:r>
      <w:r w:rsidR="00FC28DB">
        <w:rPr>
          <w:szCs w:val="24"/>
          <w:lang w:val="en-US"/>
        </w:rPr>
        <w:t>6,0</w:t>
      </w:r>
      <w:r w:rsidR="00615811">
        <w:rPr>
          <w:szCs w:val="24"/>
        </w:rPr>
        <w:t xml:space="preserve"> proc., </w:t>
      </w:r>
      <w:r w:rsidR="00FC28DB">
        <w:rPr>
          <w:szCs w:val="24"/>
        </w:rPr>
        <w:t>pienas ir jo produktai, sūriai, kiaušiniai</w:t>
      </w:r>
      <w:r w:rsidR="00970BFB">
        <w:rPr>
          <w:szCs w:val="24"/>
        </w:rPr>
        <w:t xml:space="preserve"> – </w:t>
      </w:r>
      <w:r w:rsidR="00FC28DB">
        <w:rPr>
          <w:szCs w:val="24"/>
        </w:rPr>
        <w:t>5,9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FC28DB">
        <w:rPr>
          <w:szCs w:val="24"/>
        </w:rPr>
        <w:t>žuvys ir jų produktai</w:t>
      </w:r>
      <w:r w:rsidR="00976B22">
        <w:rPr>
          <w:szCs w:val="24"/>
        </w:rPr>
        <w:t xml:space="preserve"> – </w:t>
      </w:r>
      <w:r w:rsidR="008A0BE4">
        <w:rPr>
          <w:szCs w:val="24"/>
        </w:rPr>
        <w:t>5,8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8A0BE4">
        <w:rPr>
          <w:szCs w:val="24"/>
        </w:rPr>
        <w:t>aliejai ir riebalai</w:t>
      </w:r>
      <w:r w:rsidR="00976B22">
        <w:rPr>
          <w:szCs w:val="24"/>
        </w:rPr>
        <w:t xml:space="preserve"> – </w:t>
      </w:r>
      <w:r w:rsidR="008A0BE4">
        <w:rPr>
          <w:szCs w:val="24"/>
          <w:lang w:val="en-US"/>
        </w:rPr>
        <w:t>5,7</w:t>
      </w:r>
      <w:r w:rsidR="00B440A8">
        <w:rPr>
          <w:szCs w:val="24"/>
        </w:rPr>
        <w:t xml:space="preserve"> proc., </w:t>
      </w:r>
      <w:r w:rsidR="008A0BE4">
        <w:rPr>
          <w:szCs w:val="24"/>
        </w:rPr>
        <w:t>vaisiai ir uogos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4,0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</w:t>
      </w:r>
      <w:r w:rsidR="008A0BE4">
        <w:rPr>
          <w:szCs w:val="24"/>
        </w:rPr>
        <w:t>duona ir grūdų produktai</w:t>
      </w:r>
      <w:r w:rsidR="0069685F">
        <w:rPr>
          <w:szCs w:val="24"/>
        </w:rPr>
        <w:t xml:space="preserve"> – </w:t>
      </w:r>
      <w:r w:rsidR="008A0BE4">
        <w:rPr>
          <w:szCs w:val="24"/>
        </w:rPr>
        <w:t>2,2</w:t>
      </w:r>
      <w:r w:rsidR="0069685F">
        <w:rPr>
          <w:szCs w:val="24"/>
        </w:rPr>
        <w:t xml:space="preserve"> proc., </w:t>
      </w:r>
      <w:r w:rsidR="008A0BE4">
        <w:rPr>
          <w:szCs w:val="24"/>
        </w:rPr>
        <w:t>daržovės ir bulvės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2,0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8A0BE4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55A635C3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8A0BE4">
        <w:rPr>
          <w:szCs w:val="24"/>
        </w:rPr>
        <w:t>spalio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8A0BE4">
        <w:rPr>
          <w:szCs w:val="24"/>
        </w:rPr>
        <w:t>rugsėjo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0,1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8A0BE4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8A0BE4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16C16B4B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760EB8">
        <w:rPr>
          <w:szCs w:val="24"/>
          <w:shd w:val="clear" w:color="auto" w:fill="FFFFFF" w:themeFill="background1"/>
        </w:rPr>
        <w:t>spalio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760EB8">
        <w:rPr>
          <w:szCs w:val="24"/>
          <w:shd w:val="clear" w:color="auto" w:fill="FFFFFF" w:themeFill="background1"/>
        </w:rPr>
        <w:t>spalio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760EB8">
        <w:rPr>
          <w:szCs w:val="24"/>
          <w:shd w:val="clear" w:color="auto" w:fill="FFFFFF" w:themeFill="background1"/>
        </w:rPr>
        <w:t>spalio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760EB8">
        <w:rPr>
          <w:rStyle w:val="Grietas"/>
          <w:b w:val="0"/>
        </w:rPr>
        <w:t>4,1</w:t>
      </w:r>
      <w:r w:rsidR="00F827F3" w:rsidRPr="00F827F3">
        <w:rPr>
          <w:rStyle w:val="Grietas"/>
          <w:b w:val="0"/>
        </w:rPr>
        <w:t xml:space="preserve"> proc. (2024 m. </w:t>
      </w:r>
      <w:r w:rsidR="00760EB8">
        <w:rPr>
          <w:rStyle w:val="Grietas"/>
          <w:b w:val="0"/>
        </w:rPr>
        <w:t>spalio</w:t>
      </w:r>
      <w:r w:rsidR="00F827F3" w:rsidRPr="00F827F3">
        <w:rPr>
          <w:rStyle w:val="Grietas"/>
          <w:b w:val="0"/>
        </w:rPr>
        <w:t xml:space="preserve"> mėn., palyginti su 2023 m. </w:t>
      </w:r>
      <w:r w:rsidR="00760EB8">
        <w:rPr>
          <w:rStyle w:val="Grietas"/>
          <w:b w:val="0"/>
        </w:rPr>
        <w:t>spalio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760EB8">
        <w:rPr>
          <w:rStyle w:val="Grietas"/>
          <w:b w:val="0"/>
        </w:rPr>
        <w:t>0,3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5A5D4544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760EB8">
        <w:rPr>
          <w:rStyle w:val="Grietas"/>
          <w:b w:val="0"/>
        </w:rPr>
        <w:t>spalio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760EB8">
        <w:rPr>
          <w:rStyle w:val="Grietas"/>
          <w:b w:val="0"/>
        </w:rPr>
        <w:t>rugsėjo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760EB8">
        <w:rPr>
          <w:szCs w:val="24"/>
        </w:rPr>
        <w:t>0,2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002B94E9" w:rsidR="009B47E8" w:rsidRPr="00817A22" w:rsidRDefault="009B47E8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2024–2025 m. </w:t>
            </w:r>
            <w:r w:rsidR="00FC3830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C3830">
              <w:rPr>
                <w:b/>
                <w:sz w:val="22"/>
                <w:szCs w:val="22"/>
              </w:rPr>
              <w:t>rugsėjo</w:t>
            </w:r>
            <w:r>
              <w:rPr>
                <w:b/>
                <w:sz w:val="22"/>
                <w:szCs w:val="22"/>
              </w:rPr>
              <w:t xml:space="preserve"> mėn., </w:t>
            </w:r>
            <w:r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77777777" w:rsidR="009B47E8" w:rsidRPr="009B7620" w:rsidRDefault="009B47E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0FBCCDE2" w:rsidR="009B47E8" w:rsidRPr="00F565B2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FC3830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C3830">
              <w:rPr>
                <w:b/>
                <w:sz w:val="22"/>
                <w:szCs w:val="22"/>
              </w:rPr>
              <w:t>rugsėjo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328B800D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FC3830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C3830">
              <w:rPr>
                <w:b/>
                <w:sz w:val="22"/>
                <w:szCs w:val="22"/>
              </w:rPr>
              <w:t>rugsėjo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Pr="009B7620">
              <w:rPr>
                <w:b/>
                <w:i/>
                <w:iCs/>
                <w:sz w:val="20"/>
              </w:rPr>
              <w:t xml:space="preserve"> m. palygin</w:t>
            </w:r>
            <w:r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693EAC1F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FC3830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C3830">
              <w:rPr>
                <w:b/>
                <w:sz w:val="22"/>
                <w:szCs w:val="22"/>
              </w:rPr>
              <w:t>rugsėjo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62BE5F77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FC3830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C3830">
              <w:rPr>
                <w:b/>
                <w:sz w:val="22"/>
                <w:szCs w:val="22"/>
              </w:rPr>
              <w:t>rugsėjo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3FD44917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2024 m. </w:t>
            </w:r>
            <w:r w:rsidR="00FC3830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FC3830">
              <w:rPr>
                <w:b/>
                <w:bCs/>
                <w:i/>
                <w:sz w:val="22"/>
                <w:szCs w:val="22"/>
              </w:rPr>
              <w:t>rugsėjo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5C7F7055" w:rsidR="009B47E8" w:rsidRPr="007F232F" w:rsidRDefault="009B47E8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FC3830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FC3830">
              <w:rPr>
                <w:b/>
                <w:bCs/>
                <w:i/>
                <w:sz w:val="22"/>
                <w:szCs w:val="22"/>
              </w:rPr>
              <w:t>rugsėjo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78C398AD" w:rsidR="009B47E8" w:rsidRPr="00FC3830" w:rsidRDefault="00FC3830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27 824,2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4F075C67" w:rsidR="009B47E8" w:rsidRPr="00FC3830" w:rsidRDefault="00FC3830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27 518,1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35D8EC03" w:rsidR="009B47E8" w:rsidRPr="00FC3830" w:rsidRDefault="00FC38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FC3830">
              <w:rPr>
                <w:i/>
                <w:color w:val="EE0000"/>
                <w:sz w:val="22"/>
                <w:szCs w:val="22"/>
              </w:rPr>
              <w:t>-1,1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3F628878" w:rsidR="009B47E8" w:rsidRPr="00DE4230" w:rsidRDefault="00DE4230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5 331,3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468DBFCF" w:rsidR="009B47E8" w:rsidRPr="00DE4230" w:rsidRDefault="00DE4230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5 495,8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3A79976F" w:rsidR="009B47E8" w:rsidRPr="00DE4230" w:rsidRDefault="00DE4230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256C5B63" w:rsidR="009B47E8" w:rsidRPr="00DE4230" w:rsidRDefault="00DE42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19,2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689D5E5C" w:rsidR="009B47E8" w:rsidRPr="00DE4230" w:rsidRDefault="00DE42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20,0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7EE6E8F2" w:rsidR="009B47E8" w:rsidRPr="00FC3830" w:rsidRDefault="00FC3830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30 839,0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18AA97FB" w:rsidR="009B47E8" w:rsidRPr="00FC3830" w:rsidRDefault="00FC3830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32 492,5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118D63B4" w:rsidR="009B47E8" w:rsidRPr="00FC3830" w:rsidRDefault="00FC38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661F5650" w:rsidR="009B47E8" w:rsidRPr="00DE4230" w:rsidRDefault="00DE4230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4 108,4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7CE855A7" w:rsidR="009B47E8" w:rsidRPr="00DE4230" w:rsidRDefault="00DE4230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4 396,8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4F9533F6" w:rsidR="009B47E8" w:rsidRPr="00DE4230" w:rsidRDefault="00DE4230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6BE07380" w:rsidR="009B47E8" w:rsidRPr="00DE4230" w:rsidRDefault="00DE42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7F715F52" w:rsidR="009B47E8" w:rsidRPr="00DE4230" w:rsidRDefault="00DE42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13,5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38ACE397" w:rsidR="009B47E8" w:rsidRPr="00FC3830" w:rsidRDefault="00FC3830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830">
              <w:rPr>
                <w:color w:val="EE0000"/>
                <w:sz w:val="22"/>
                <w:szCs w:val="22"/>
              </w:rPr>
              <w:t>-3 014,8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6BC5A94C" w:rsidR="009B47E8" w:rsidRPr="00FC3830" w:rsidRDefault="00FC3830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830">
              <w:rPr>
                <w:color w:val="EE0000"/>
                <w:sz w:val="22"/>
                <w:szCs w:val="22"/>
              </w:rPr>
              <w:t>-4 974,4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608F7F63" w:rsidR="009B47E8" w:rsidRPr="00FC3830" w:rsidRDefault="00FC383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126D925B" w:rsidR="009B47E8" w:rsidRPr="00DE4230" w:rsidRDefault="00DE4230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1 222,9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35E20BA6" w:rsidR="009B47E8" w:rsidRPr="00DE4230" w:rsidRDefault="00DE4230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1 099,0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038C4764" w:rsidR="009B47E8" w:rsidRPr="00DE4230" w:rsidRDefault="00DE4230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DE4230">
              <w:rPr>
                <w:b/>
                <w:i/>
                <w:color w:val="EE0000"/>
                <w:sz w:val="22"/>
                <w:szCs w:val="22"/>
                <w:lang w:val="en-US"/>
              </w:rPr>
              <w:t>-10,1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3C9127DC" w:rsidR="00363A78" w:rsidRPr="00074E32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074E32">
        <w:rPr>
          <w:b/>
          <w:bCs/>
          <w:sz w:val="22"/>
          <w:szCs w:val="22"/>
        </w:rPr>
        <w:t xml:space="preserve"> 2020–2025 m. sausio–rugsėjo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20"/>
        <w:gridCol w:w="1155"/>
        <w:gridCol w:w="1154"/>
        <w:gridCol w:w="1154"/>
        <w:gridCol w:w="1154"/>
        <w:gridCol w:w="1154"/>
        <w:gridCol w:w="1154"/>
        <w:gridCol w:w="1154"/>
      </w:tblGrid>
      <w:tr w:rsidR="00074E32" w:rsidRPr="00074E32" w14:paraId="0C3C264E" w14:textId="77777777" w:rsidTr="00074E32">
        <w:trPr>
          <w:trHeight w:val="30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4BE96A65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4A37AA2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EA47FCE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7C7CB58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6D0A9B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E0B948A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D4E61C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309DBA5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074E32">
              <w:rPr>
                <w:i/>
                <w:iCs/>
                <w:color w:val="000000"/>
                <w:sz w:val="22"/>
                <w:szCs w:val="22"/>
              </w:rPr>
              <w:t xml:space="preserve">2025 m. palyginti su 2024 m., </w:t>
            </w:r>
            <w:proofErr w:type="spellStart"/>
            <w:r w:rsidRPr="00074E32">
              <w:rPr>
                <w:i/>
                <w:iCs/>
                <w:color w:val="000000"/>
                <w:sz w:val="22"/>
                <w:szCs w:val="22"/>
              </w:rPr>
              <w:t>padid</w:t>
            </w:r>
            <w:proofErr w:type="spellEnd"/>
            <w:r w:rsidRPr="00074E32">
              <w:rPr>
                <w:i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74E32">
              <w:rPr>
                <w:i/>
                <w:iCs/>
                <w:color w:val="000000"/>
                <w:sz w:val="22"/>
                <w:szCs w:val="22"/>
              </w:rPr>
              <w:t>sumaž</w:t>
            </w:r>
            <w:proofErr w:type="spellEnd"/>
            <w:r w:rsidRPr="00074E32">
              <w:rPr>
                <w:i/>
                <w:iCs/>
                <w:color w:val="000000"/>
                <w:sz w:val="22"/>
                <w:szCs w:val="22"/>
              </w:rPr>
              <w:t>. (+,-), proc.</w:t>
            </w:r>
          </w:p>
        </w:tc>
      </w:tr>
      <w:tr w:rsidR="00074E32" w:rsidRPr="00074E32" w14:paraId="567ADD95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3E3F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F4C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3883,46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E30A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3429,01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B66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2609,87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30A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3019,42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9EEE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3162,32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CF6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2846,63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6C1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color w:val="EE0000"/>
                <w:sz w:val="22"/>
                <w:szCs w:val="22"/>
              </w:rPr>
              <w:t>-10,0</w:t>
            </w:r>
          </w:p>
        </w:tc>
      </w:tr>
      <w:tr w:rsidR="00074E32" w:rsidRPr="00074E32" w14:paraId="70F1CE94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7E50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8D18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3737,58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96E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3324,48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025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2432,71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A95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2837,41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D56E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2920,26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B59B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2654,62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AA3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color w:val="EE0000"/>
                <w:sz w:val="22"/>
                <w:szCs w:val="22"/>
              </w:rPr>
              <w:t>-9,1</w:t>
            </w:r>
          </w:p>
        </w:tc>
      </w:tr>
      <w:tr w:rsidR="00074E32" w:rsidRPr="00074E32" w14:paraId="6CE76845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F25D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9129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145,88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8E49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104,53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6FCC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177,14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A08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182,00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3675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241,87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F10F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192,03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9C05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color w:val="EE0000"/>
                <w:sz w:val="22"/>
                <w:szCs w:val="22"/>
              </w:rPr>
              <w:t>-20,6</w:t>
            </w:r>
          </w:p>
        </w:tc>
      </w:tr>
      <w:tr w:rsidR="00074E32" w:rsidRPr="00074E32" w14:paraId="6AB6AE11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1409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3F3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752,54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F52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744,12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2B6C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394,94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B7E2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437,18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374A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634,85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D1B9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534,10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76C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color w:val="EE0000"/>
                <w:sz w:val="22"/>
                <w:szCs w:val="22"/>
              </w:rPr>
              <w:t>-15,9</w:t>
            </w:r>
          </w:p>
        </w:tc>
      </w:tr>
      <w:tr w:rsidR="00074E32" w:rsidRPr="00074E32" w14:paraId="074BDCD1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0A7DA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42B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36,78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5ABD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39,99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E7B8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39,04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366A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45,03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5FAC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41,89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F0D2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41,19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8FFF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color w:val="EE0000"/>
                <w:sz w:val="22"/>
                <w:szCs w:val="22"/>
              </w:rPr>
              <w:t>-1,7</w:t>
            </w:r>
          </w:p>
        </w:tc>
      </w:tr>
      <w:tr w:rsidR="00074E32" w:rsidRPr="00074E32" w14:paraId="0B9AF258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2F3BA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EA14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45B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58,24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20E5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55,86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E93A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57,21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2F9D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60,13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4FD5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66,20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8840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sz w:val="22"/>
                <w:szCs w:val="22"/>
              </w:rPr>
              <w:t>10,1</w:t>
            </w:r>
          </w:p>
        </w:tc>
      </w:tr>
      <w:tr w:rsidR="00074E32" w:rsidRPr="00074E32" w14:paraId="45817953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FCD72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601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20,62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056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12,09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4ED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8,89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E6C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14,35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DF9E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21,30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9840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6,69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9FA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color w:val="EE0000"/>
                <w:sz w:val="22"/>
                <w:szCs w:val="22"/>
              </w:rPr>
              <w:t>-68,6</w:t>
            </w:r>
          </w:p>
        </w:tc>
      </w:tr>
      <w:tr w:rsidR="00074E32" w:rsidRPr="00074E32" w14:paraId="5533AB7F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82CB6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0781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9AFC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7516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A807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08FC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CE902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074E32" w:rsidRPr="00074E32" w14:paraId="4AC7F700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702B3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584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229,90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6A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210,80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C52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213,80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A49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210,30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774D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210,10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436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F125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sz w:val="22"/>
                <w:szCs w:val="22"/>
              </w:rPr>
              <w:t>5,7</w:t>
            </w:r>
          </w:p>
        </w:tc>
      </w:tr>
      <w:tr w:rsidR="00074E32" w:rsidRPr="00074E32" w14:paraId="32C89719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B9DAD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FE8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154,70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F3C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13CC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142,30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78A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E50C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E369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149,30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1C1E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sz w:val="22"/>
                <w:szCs w:val="22"/>
              </w:rPr>
              <w:t>6,3</w:t>
            </w:r>
          </w:p>
        </w:tc>
      </w:tr>
      <w:tr w:rsidR="00074E32" w:rsidRPr="00074E32" w14:paraId="23F353B8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58A5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A57C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1027,30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3CF8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1007,80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D568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1025,30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C30F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1009,20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ECD7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1052,30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DE82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1071,30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D20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sz w:val="22"/>
                <w:szCs w:val="22"/>
              </w:rPr>
              <w:t>1,8</w:t>
            </w:r>
          </w:p>
        </w:tc>
      </w:tr>
      <w:tr w:rsidR="00074E32" w:rsidRPr="00074E32" w14:paraId="653EE071" w14:textId="77777777" w:rsidTr="00074E32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8E23" w14:textId="77777777" w:rsidR="00074E32" w:rsidRPr="00074E32" w:rsidRDefault="00074E32" w:rsidP="00074E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BBD1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439,50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185E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384,00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A70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084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223,10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DAF0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232,60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18E9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4E32">
              <w:rPr>
                <w:color w:val="000000"/>
                <w:sz w:val="22"/>
                <w:szCs w:val="22"/>
              </w:rPr>
              <w:t>279,30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4F73" w14:textId="77777777" w:rsidR="00074E32" w:rsidRPr="00074E32" w:rsidRDefault="00074E32" w:rsidP="00074E32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74E32">
              <w:rPr>
                <w:i/>
                <w:iCs/>
                <w:sz w:val="22"/>
                <w:szCs w:val="22"/>
              </w:rPr>
              <w:t>20,1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3A05F7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3A05F7">
        <w:tc>
          <w:tcPr>
            <w:tcW w:w="8000" w:type="dxa"/>
            <w:vAlign w:val="center"/>
          </w:tcPr>
          <w:p w14:paraId="1EB91DC9" w14:textId="7E0D462D" w:rsidR="00C53722" w:rsidRPr="00F85839" w:rsidRDefault="003A05F7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4A36F7" wp14:editId="48EDC368">
                  <wp:extent cx="4644000" cy="2880000"/>
                  <wp:effectExtent l="0" t="0" r="4445" b="15875"/>
                  <wp:docPr id="139658837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4B2B64E3" w:rsidR="00C53722" w:rsidRDefault="003A05F7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CA2890" wp14:editId="70E1F656">
                  <wp:extent cx="4644000" cy="2880000"/>
                  <wp:effectExtent l="0" t="0" r="4445" b="15875"/>
                  <wp:docPr id="144324983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2B0C4C">
        <w:trPr>
          <w:trHeight w:val="4510"/>
        </w:trPr>
        <w:tc>
          <w:tcPr>
            <w:tcW w:w="8000" w:type="dxa"/>
            <w:vAlign w:val="center"/>
          </w:tcPr>
          <w:p w14:paraId="6A78CCED" w14:textId="4D64E2CE" w:rsidR="00C53722" w:rsidRDefault="002B0C4C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5DDF44" wp14:editId="0F51B105">
                  <wp:extent cx="4644000" cy="2880000"/>
                  <wp:effectExtent l="0" t="0" r="4445" b="15875"/>
                  <wp:docPr id="147631107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0D3FCCE1" w:rsidR="00C53722" w:rsidRDefault="002B0C4C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A38317" wp14:editId="2D4493A8">
                  <wp:extent cx="4644000" cy="2880000"/>
                  <wp:effectExtent l="0" t="0" r="4445" b="15875"/>
                  <wp:docPr id="130887913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14539F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C23FB2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4317468F" w:rsidR="00EA4CE5" w:rsidRPr="006D4639" w:rsidRDefault="00F95D8D" w:rsidP="00EA4CE5">
            <w:pPr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6D76FA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02E6249B" w:rsidR="006D76FA" w:rsidRPr="00AD43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0029DA1A" w:rsidR="006D76FA" w:rsidRPr="006277D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3AD7D1BB" w:rsidR="006D76FA" w:rsidRPr="00EA18F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4DA14080" w:rsidR="006D76FA" w:rsidRPr="00AC501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078263CF" w:rsidR="006D76FA" w:rsidRPr="006A5F5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3CD8F002" w:rsidR="006D76FA" w:rsidRPr="0077318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3C87986A" w:rsidR="006D76FA" w:rsidRPr="00D10F6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2752F102" w:rsidR="006D76FA" w:rsidRPr="00643D33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0118A0F0" w:rsidR="006D76FA" w:rsidRPr="00A631D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5CA04D4A" w:rsidR="006D76FA" w:rsidRPr="00EB2DB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5CA6433C" w:rsidR="006D76FA" w:rsidRPr="00EB109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16D9A9B1" w:rsidR="006D76FA" w:rsidRPr="00917D0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4E91709C" w:rsidR="006D76FA" w:rsidRPr="004C0C4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6D76FA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1EB2E28A" w:rsidR="006D76FA" w:rsidRPr="00300759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62A922E1" w:rsidR="006D76FA" w:rsidRPr="00E3320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067A73FC" w:rsidR="006D76FA" w:rsidRPr="00AB359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31B838B0" w:rsidR="006D76FA" w:rsidRPr="00A70D3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3430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09FFF3B2" w:rsidR="006D76FA" w:rsidRPr="00E3320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27A30E68" w:rsidR="006D76FA" w:rsidRPr="00E6125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3347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432DC9BD" w:rsidR="006D76FA" w:rsidRPr="00E6125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3133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7C30295D" w:rsidR="006D76FA" w:rsidRPr="00691467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26C5BA7D" w:rsidR="006D76FA" w:rsidRPr="00691467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40314BFB" w:rsidR="006D76FA" w:rsidRPr="00AB359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57DFF331" w:rsidR="006D76FA" w:rsidRPr="00691467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74749E81" w:rsidR="006D76FA" w:rsidRPr="00AB359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3C99ECC2" w:rsidR="006D76FA" w:rsidRPr="002237C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6D76FA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7D684F2B" w:rsidR="006D76FA" w:rsidRPr="00E6125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52A55C78" w:rsidR="006D76FA" w:rsidRPr="00F23C7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6845C350" w:rsidR="006D76FA" w:rsidRPr="00E6125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5C218DE8" w:rsidR="006D76FA" w:rsidRPr="00FF202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2F58FDF9" w:rsidR="006D76FA" w:rsidRPr="00F23C7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69E07250" w:rsidR="006D76FA" w:rsidRPr="00FF202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3298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350259C1" w:rsidR="006D76FA" w:rsidRPr="00FF202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5DDBB9E3" w:rsidR="006D76FA" w:rsidRPr="00B12E1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3268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2B676E2C" w:rsidR="006D76FA" w:rsidRPr="00B12E1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0869432B" w:rsidR="006D76FA" w:rsidRPr="00B12E1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3F3DB9C9" w:rsidR="006D76FA" w:rsidRPr="00B12E1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2D73C4EB" w:rsidR="006D76FA" w:rsidRPr="00B12E1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3398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781CB161" w:rsidR="006D76FA" w:rsidRPr="0088525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6D76FA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6D76FA" w:rsidRPr="00553A3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35B89D24" w:rsidR="006D76FA" w:rsidRPr="00A50836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211489BC" w:rsidR="006D76FA" w:rsidRPr="00A159D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0DD22460" w:rsidR="006D76FA" w:rsidRPr="00A159D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0A494FF8" w:rsidR="006D76FA" w:rsidRPr="00376DB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6E12C3C2" w:rsidR="006D76FA" w:rsidRPr="000F413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1EDF5DAB" w:rsidR="006D76FA" w:rsidRPr="00B12E1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044C301F" w:rsidR="006D76FA" w:rsidRPr="0049150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4196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7DFB0572" w:rsidR="006D76FA" w:rsidRPr="001429F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4134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0CCDB534" w:rsidR="006D76FA" w:rsidRPr="00CC18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1339B0EA" w:rsidR="006D76FA" w:rsidRPr="005240C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52D2A8" w:rsidR="006D76FA" w:rsidRPr="009171A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9D8037D" w:rsidR="006D76FA" w:rsidRPr="005A4417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3231C973" w:rsidR="006D76FA" w:rsidRPr="00A1237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6D76FA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5657993" w:rsidR="006D76FA" w:rsidRPr="00AD43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6EF37247" w:rsidR="006D76FA" w:rsidRPr="000F413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777F336C" w:rsidR="006D76FA" w:rsidRPr="00EA18F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1E706B67" w:rsidR="006D76FA" w:rsidRPr="00CA1837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05B6B7AD" w:rsidR="006D76FA" w:rsidRPr="006A5F5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68863486" w:rsidR="006D76FA" w:rsidRPr="0077318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2ED6C5B1" w:rsidR="006D76FA" w:rsidRPr="00D10F6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4D7B0C95" w:rsidR="006D76FA" w:rsidRPr="00643D33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7C05028C" w:rsidR="006D76FA" w:rsidRPr="00A631D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60467775" w:rsidR="006D76FA" w:rsidRPr="00EB2DB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1CFF0D91" w:rsidR="006D76FA" w:rsidRPr="00EB109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58011FAE" w:rsidR="006D76FA" w:rsidRPr="00CC18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7FCDCD72" w:rsidR="006D76FA" w:rsidRPr="004C0C4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6D76FA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636ADB22" w:rsidR="006D76FA" w:rsidRPr="0052601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290315EE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02161233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5B5C3076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462942A3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788E622E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1B482768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17A63738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436DD7E0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39687253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0E37C5CC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53F1AE56" w:rsidR="006D76FA" w:rsidRPr="0052601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154F8E52" w:rsidR="006D76FA" w:rsidRPr="002237C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6D76FA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35F7C92B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722E940F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58D1AE5E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07257606" w:rsidR="006D76FA" w:rsidRPr="00856943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10A15043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81A6ECD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79578C17" w:rsidR="006D76FA" w:rsidRPr="00510AD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1C212719" w:rsidR="006D76FA" w:rsidRPr="00F77C76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55A633FB" w:rsidR="006D76FA" w:rsidRPr="00F132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64877971" w:rsidR="006D76FA" w:rsidRPr="00B367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1805C949" w:rsidR="006D76FA" w:rsidRPr="00B367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0AB4B883" w:rsidR="006D76FA" w:rsidRPr="00B367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281395AA" w:rsidR="006D76FA" w:rsidRPr="0088525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6D76FA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6D76FA" w:rsidRPr="00553A3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2C717040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53FA21B0" w:rsidR="006D76FA" w:rsidRPr="00A159D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4A4B348C" w:rsidR="006D76FA" w:rsidRPr="00A159D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76AE27D0" w:rsidR="006D76FA" w:rsidRPr="00376DB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42347090" w:rsidR="006D76FA" w:rsidRPr="00F64F1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6419D760" w:rsidR="006D76FA" w:rsidRPr="008867B6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6F53A488" w:rsidR="006D76FA" w:rsidRPr="0049150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38E892AA" w:rsidR="006D76FA" w:rsidRPr="003D393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7D93A551" w:rsidR="006D76FA" w:rsidRPr="00C14D6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3CE27EB3" w:rsidR="006D76FA" w:rsidRPr="00A37BC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6806A701" w:rsidR="006D76FA" w:rsidRPr="005242D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6509E05A" w:rsidR="006D76FA" w:rsidRPr="005242D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394FF989" w:rsidR="006D76FA" w:rsidRPr="005242D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6D76FA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03B3D7DE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5697E6E2" w:rsidR="006D76FA" w:rsidRPr="00AD43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1C98D920" w:rsidR="006D76FA" w:rsidRPr="008C57C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5AA5D4A9" w:rsidR="006D76FA" w:rsidRPr="00EA18F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5859C679" w:rsidR="006D76FA" w:rsidRPr="00B3677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4946FE8F" w:rsidR="006D76FA" w:rsidRPr="006A5F5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0B831231" w:rsidR="006D76FA" w:rsidRPr="0077318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27B5178A" w:rsidR="006D76FA" w:rsidRPr="00D10F6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537E1205" w:rsidR="006D76FA" w:rsidRPr="00643D33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02ECF2CF" w:rsidR="006D76FA" w:rsidRPr="00A631D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31AC079E" w:rsidR="006D76FA" w:rsidRPr="00EB2DB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29B003A4" w:rsidR="006D76FA" w:rsidRPr="00EB109B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6EE558C9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1261653D" w:rsidR="006D76FA" w:rsidRPr="004C0C4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6D76FA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0105D492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5D56572E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16001749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0B145237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3AB69504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07385B22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4A3B5B4F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475F563C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7CBFAF4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407FC48C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709BD04B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7F9531A0" w:rsidR="006D76FA" w:rsidRPr="00C23FB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32C79EF8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3D759DC4" w:rsidR="006D76FA" w:rsidRPr="002237C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6D76FA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2798E216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02834EFD" w:rsidR="006D76FA" w:rsidRPr="007D029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4233F11F" w:rsidR="006D76FA" w:rsidRPr="00C23FB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2B999B61" w:rsidR="006D76FA" w:rsidRPr="00C23FB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1A8545C6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393EEB46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26148A6F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6F900D4B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59428CE3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671D3473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42772E95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22B2D4F0" w:rsidR="006D76FA" w:rsidRPr="0099703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7D607EB9" w:rsidR="006D76FA" w:rsidRPr="007A369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6432426A" w:rsidR="006D76FA" w:rsidRPr="00724497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6D76FA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4F9AA077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3A83211F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5754B277" w:rsidR="006D76FA" w:rsidRPr="00A159D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36DE319E" w:rsidR="006D76FA" w:rsidRPr="00A159D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397BB3B9" w:rsidR="006D76FA" w:rsidRPr="00376DB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70045689" w:rsidR="006D76FA" w:rsidRPr="00F64F1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3B5432DD" w:rsidR="006D76FA" w:rsidRPr="00F416A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47F3E627" w:rsidR="006D76FA" w:rsidRPr="0049150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09172613" w:rsidR="006D76FA" w:rsidRPr="008A44B1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0971A615" w:rsidR="006D76FA" w:rsidRPr="00D546E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6934301F" w:rsidR="006D76FA" w:rsidRPr="004D44E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45E0362" w:rsidR="006D76FA" w:rsidRPr="005242D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4DEA2540" w:rsidR="006D76FA" w:rsidRPr="005242D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C536349" w:rsidR="006D76FA" w:rsidRPr="00A1237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6D76FA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772AD105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6D76FA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40A197F7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6D76FA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124FAEFB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6D76FA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6D76FA" w:rsidRPr="00BB6ED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6D76FA" w:rsidRPr="008F08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6D76FA" w:rsidRPr="0027573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6D76FA" w:rsidRPr="0035752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6D76FA" w:rsidRPr="0014554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21CCFB1D" w:rsidR="006D76FA" w:rsidRPr="007E336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0183946" w:rsidR="006D76FA" w:rsidRPr="00860F4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1B4AE808" w:rsidR="006D76FA" w:rsidRPr="004C04F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4234DED4" w:rsidR="006D76FA" w:rsidRPr="00764F8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1C551C84" w:rsidR="006D76FA" w:rsidRPr="00C442F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10620B38" w:rsidR="006D76FA" w:rsidRPr="00EA193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E835BB4" w:rsidR="006D76FA" w:rsidRPr="00A3551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70B21FE3" w:rsidR="006D76FA" w:rsidRPr="00A1237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6D76FA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15F89B44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6D76FA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7D694F80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6D76FA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4C1BCC7F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6D76FA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6D76FA" w:rsidRPr="006156F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6D76FA" w:rsidRPr="008F08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6D76FA" w:rsidRPr="0027573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6D76FA" w:rsidRPr="0035752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6D76FA" w:rsidRPr="0014554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4764B8C8" w:rsidR="006D76FA" w:rsidRPr="007E336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7E60180F" w:rsidR="006D76FA" w:rsidRPr="00860F4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71D21741" w:rsidR="006D76FA" w:rsidRPr="004C04F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3B228233" w:rsidR="006D76FA" w:rsidRPr="00764F8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1C2F5017" w:rsidR="006D76FA" w:rsidRPr="00C442F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43F4AA1F" w:rsidR="006D76FA" w:rsidRPr="00EA193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7A665C6D" w:rsidR="006D76FA" w:rsidRPr="00A3551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D8328F0" w:rsidR="006D76FA" w:rsidRPr="00A1237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6D76FA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61810CA9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6D76FA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2ECF9825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6D76FA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6D0C9ABB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6D76FA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6D76FA" w:rsidRPr="006156F5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6D76FA" w:rsidRPr="008F08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6D76FA" w:rsidRPr="0027573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6D76FA" w:rsidRPr="0035752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6D76FA" w:rsidRPr="0014554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5CE9E89" w:rsidR="006D76FA" w:rsidRPr="007E336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71DDE530" w:rsidR="006D76FA" w:rsidRPr="00860F4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5D5232D6" w:rsidR="006D76FA" w:rsidRPr="004C04F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5B4D25D2" w:rsidR="006D76FA" w:rsidRPr="00764F8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242AB93E" w:rsidR="006D76FA" w:rsidRPr="00C442F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19927F4F" w:rsidR="006D76FA" w:rsidRPr="00EA193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E9231F0" w:rsidR="006D76FA" w:rsidRPr="00A3551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04FACA5" w:rsidR="006D76FA" w:rsidRPr="00A1237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6D76FA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6D76FA" w:rsidRPr="000460A2" w:rsidRDefault="006D76FA" w:rsidP="006D76F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76E40544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24AB0B59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0DF22BB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1B445220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270F6893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152B85CE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41B8DE5E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6C378E44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2A59C9E7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51A37EDB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08466C8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10BE5023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70150110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1798E93A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6D76FA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6D76FA" w:rsidRPr="00E87B14" w:rsidRDefault="006D76FA" w:rsidP="006D76FA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01239488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4D05DDAD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75161F7F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6CC334C9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7CCE15B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29EE2DE9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16412EB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6736A1F4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35EFECA7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5056826E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21D6A5E8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42A776FE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2D8CD394" w:rsidR="006D76FA" w:rsidRPr="004E707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6038221F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6D76FA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6D76FA" w:rsidRPr="00E87B14" w:rsidRDefault="006D76FA" w:rsidP="006D76FA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108D136" w:rsidR="006D76FA" w:rsidRPr="00F158C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4A4EBF5C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4A1015D9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6622FA93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66F3C3F3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30B1265B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17194C2D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408C0907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5743319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47D2B58A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798B4BBE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6FE5A557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5804FB68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6481E71C" w:rsidR="006D76FA" w:rsidRPr="00D5370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6D76FA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6D76FA" w:rsidRPr="00E87B14" w:rsidRDefault="006D76FA" w:rsidP="006D76FA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22846CF0" w:rsidR="006D76FA" w:rsidRPr="00CF467A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412597B2" w:rsidR="006D76FA" w:rsidRPr="00BB6ED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7E2DF7E7" w:rsidR="006D76FA" w:rsidRPr="008F08E2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3C1B2058" w:rsidR="006D76FA" w:rsidRPr="0027573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3347005E" w:rsidR="006D76FA" w:rsidRPr="0035752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2D810AB3" w:rsidR="006D76FA" w:rsidRPr="00145544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04649EB0" w:rsidR="006D76FA" w:rsidRPr="007E3360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6EBD0181" w:rsidR="006D76FA" w:rsidRPr="00860F4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66308EF9" w:rsidR="006D76FA" w:rsidRPr="004C04FE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6F51076C" w:rsidR="006D76FA" w:rsidRPr="00764F88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677DC527" w:rsidR="006D76FA" w:rsidRPr="00C442FF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3C8F7B66" w:rsidR="006D76FA" w:rsidRPr="00EA193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22DA7E9" w:rsidR="006D76FA" w:rsidRPr="00A3551D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ABCCE70" w:rsidR="006D76FA" w:rsidRPr="00A1237C" w:rsidRDefault="006D76FA" w:rsidP="006D76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BD044F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BD044F" w14:paraId="43AEE9B3" w14:textId="77777777" w:rsidTr="00BD044F">
        <w:tc>
          <w:tcPr>
            <w:tcW w:w="7536" w:type="dxa"/>
            <w:vAlign w:val="center"/>
          </w:tcPr>
          <w:p w14:paraId="292707A0" w14:textId="0507CB5B" w:rsidR="00C4445E" w:rsidRPr="00CE714F" w:rsidRDefault="00BD04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110354" wp14:editId="536BB571">
                  <wp:extent cx="4644000" cy="2880000"/>
                  <wp:effectExtent l="0" t="0" r="4445" b="15875"/>
                  <wp:docPr id="136523136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20CAAA2D" w:rsidR="00C4445E" w:rsidRDefault="00BD04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9EF3E9E" wp14:editId="5B64E662">
                  <wp:extent cx="4644000" cy="2880000"/>
                  <wp:effectExtent l="0" t="0" r="4445" b="15875"/>
                  <wp:docPr id="99764275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BD044F" w14:paraId="7C66093F" w14:textId="77777777" w:rsidTr="00BD044F">
        <w:tc>
          <w:tcPr>
            <w:tcW w:w="7536" w:type="dxa"/>
            <w:vAlign w:val="center"/>
          </w:tcPr>
          <w:p w14:paraId="284862F4" w14:textId="2DBEFDF9" w:rsidR="00C4445E" w:rsidRDefault="00BD04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322006B" wp14:editId="378453A6">
                  <wp:extent cx="4644000" cy="2880000"/>
                  <wp:effectExtent l="0" t="0" r="4445" b="15875"/>
                  <wp:docPr id="183000573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26922EA7" w:rsidR="00C4445E" w:rsidRDefault="00BD04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14734A" wp14:editId="5580BBAE">
                  <wp:extent cx="4644000" cy="2880000"/>
                  <wp:effectExtent l="0" t="0" r="4445" b="15875"/>
                  <wp:docPr id="48584705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71891131" w:rsidR="00EA4CE5" w:rsidRPr="009730AD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261254D6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5A37FA0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9E537F9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2929632A" w:rsidR="00203003" w:rsidRPr="00475858" w:rsidRDefault="00475858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2FD05A6E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650FF254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4A882C15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0061FF34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6B621D25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3132CBB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337F6284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37501E62" w:rsidR="00203003" w:rsidRPr="00475858" w:rsidRDefault="00475858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1CCB75C2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3A6DAE7B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6118D7D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3CE0C5D0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2619757F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77B9A69E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F9A9622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43E43C1A" w:rsidR="00AA5036" w:rsidRPr="00475858" w:rsidRDefault="00475858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20CDAE0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10C11F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61B104C4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2E3C7DC0" w:rsidR="00AA5036" w:rsidRPr="00686D8D" w:rsidRDefault="00AA5036" w:rsidP="00AA5036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4830C16C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45666045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08AA92AE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6AA903AA" w:rsidR="00AA5036" w:rsidRPr="00475858" w:rsidRDefault="00475858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52968A8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33B57000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1D572865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41B379DF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6B968912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09B1EA22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DE905A5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470026AD" w:rsidR="00AA5036" w:rsidRPr="00475858" w:rsidRDefault="00475858" w:rsidP="00AA5036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4FA1EBE5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3BBCA8BB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571E2D4C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374B1981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242552D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5390D2BF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6B30B9A9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302BA197" w:rsidR="00AA5036" w:rsidRPr="00475858" w:rsidRDefault="00475858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1D0C4449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1295EF5B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213F4064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1BAEF023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038C0E87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48E655CC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471EA82A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59B4E601" w:rsidR="00AA5036" w:rsidRPr="00475858" w:rsidRDefault="00475858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56C4BAA6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6F92333E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789B0EC2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2B29AB3D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3E33A7EF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764F88">
              <w:rPr>
                <w:color w:val="000000"/>
                <w:sz w:val="21"/>
                <w:szCs w:val="21"/>
              </w:rPr>
              <w:t>rugsėjo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764F88">
              <w:rPr>
                <w:color w:val="000000"/>
                <w:sz w:val="21"/>
                <w:szCs w:val="21"/>
              </w:rPr>
              <w:t>rugsėjo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53F514D7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764F88">
              <w:rPr>
                <w:color w:val="000000"/>
                <w:sz w:val="21"/>
                <w:szCs w:val="21"/>
              </w:rPr>
              <w:t>rugpjūčio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764F88">
              <w:rPr>
                <w:color w:val="000000"/>
                <w:sz w:val="21"/>
                <w:szCs w:val="21"/>
              </w:rPr>
              <w:t>rugpjūčio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3AB209C3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764F88">
              <w:rPr>
                <w:color w:val="000000"/>
                <w:sz w:val="21"/>
                <w:szCs w:val="21"/>
              </w:rPr>
              <w:t>III</w:t>
            </w:r>
            <w:r>
              <w:rPr>
                <w:color w:val="000000"/>
                <w:sz w:val="21"/>
                <w:szCs w:val="21"/>
              </w:rPr>
              <w:t xml:space="preserve">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764F88">
              <w:rPr>
                <w:color w:val="000000"/>
                <w:sz w:val="21"/>
                <w:szCs w:val="21"/>
              </w:rPr>
              <w:t>III</w:t>
            </w:r>
            <w:r>
              <w:rPr>
                <w:color w:val="000000"/>
                <w:sz w:val="21"/>
                <w:szCs w:val="21"/>
              </w:rPr>
              <w:t xml:space="preserve">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25D0930A" w:rsidR="00527295" w:rsidRPr="008A0BE4" w:rsidRDefault="008A0BE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rugsėjis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1F4D3A34" w:rsidR="00527295" w:rsidRPr="008A0BE4" w:rsidRDefault="008A0BE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rugpjūtis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087907A9" w:rsidR="00527295" w:rsidRPr="008A0BE4" w:rsidRDefault="008A0BE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III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4E669204" w:rsidR="00527295" w:rsidRPr="008A0BE4" w:rsidRDefault="008A0BE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236AE623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760EB8">
        <w:rPr>
          <w:b/>
          <w:sz w:val="22"/>
        </w:rPr>
        <w:t>rugsėjo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03B23A56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760EB8">
              <w:rPr>
                <w:b/>
                <w:sz w:val="22"/>
              </w:rPr>
              <w:t>rugsėjo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74AA3905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760EB8">
              <w:rPr>
                <w:b/>
                <w:sz w:val="22"/>
              </w:rPr>
              <w:t>rugsėjo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531314DC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760EB8">
              <w:rPr>
                <w:b/>
                <w:sz w:val="22"/>
              </w:rPr>
              <w:t>rugsėjo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2F6414A0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760EB8">
              <w:rPr>
                <w:b/>
                <w:sz w:val="22"/>
              </w:rPr>
              <w:t>rugpjūčio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1139EE4B" w:rsidR="00CE6DE2" w:rsidRPr="00760EB8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760EB8">
        <w:rPr>
          <w:b/>
          <w:bCs/>
          <w:sz w:val="22"/>
          <w:szCs w:val="22"/>
        </w:rPr>
        <w:t xml:space="preserve"> 2024–2025 m. sausio–rugsėjo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5DD48F17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2024 m. </w:t>
            </w:r>
            <w:r w:rsidR="00184310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184310">
              <w:rPr>
                <w:b/>
                <w:bCs/>
                <w:color w:val="000000"/>
                <w:sz w:val="22"/>
                <w:szCs w:val="22"/>
              </w:rPr>
              <w:t>rugsėjo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09D825DE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 m. </w:t>
            </w:r>
            <w:r w:rsidR="00184310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184310">
              <w:rPr>
                <w:b/>
                <w:bCs/>
                <w:color w:val="000000"/>
                <w:sz w:val="22"/>
                <w:szCs w:val="22"/>
              </w:rPr>
              <w:t>rugsėjo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095929F3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7B1EDE">
        <w:rPr>
          <w:b/>
          <w:bCs/>
          <w:sz w:val="22"/>
          <w:szCs w:val="22"/>
        </w:rPr>
        <w:t>spalio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7E8581B1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7B1EDE">
              <w:rPr>
                <w:b/>
                <w:sz w:val="22"/>
                <w:szCs w:val="22"/>
              </w:rPr>
              <w:t>spalio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5A4B6A7A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7B1EDE">
              <w:rPr>
                <w:sz w:val="22"/>
                <w:szCs w:val="22"/>
              </w:rPr>
              <w:t>spalio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20512565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7B1EDE">
              <w:rPr>
                <w:sz w:val="22"/>
                <w:szCs w:val="22"/>
              </w:rPr>
              <w:t>rugsėjo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9235684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227F560E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092D703B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3EE92220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53A44E98" w:rsidR="00062949" w:rsidRPr="007B1EDE" w:rsidRDefault="007B1EDE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B1EDE">
              <w:rPr>
                <w:b/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02FEC23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50CF3E9B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6831283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77588FD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219ED693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7B1EDE">
              <w:rPr>
                <w:sz w:val="22"/>
                <w:szCs w:val="22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238ADC5B" w:rsidR="00062949" w:rsidRPr="007B1EDE" w:rsidRDefault="007B1EDE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1D7BE4A5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46E1745E" w:rsidR="00062949" w:rsidRPr="00D25B74" w:rsidRDefault="00D25B74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4EB7949A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20438662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3E0B66BF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665A8915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78A4A10E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0E7C1826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2369F3BF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-1,0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0A565FA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416FF590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5945B0FC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3BC3A872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sz w:val="22"/>
                <w:szCs w:val="22"/>
              </w:rPr>
              <w:t>7,4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2B82B7D4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74E679BA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-1,8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5BC45C34" w:rsidR="00062949" w:rsidRPr="00FC28DB" w:rsidRDefault="00FC28DB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11E6A92E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53D2125D" w:rsidR="00062949" w:rsidRPr="00FC28DB" w:rsidRDefault="00FC28DB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C28DB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2D258D2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5B3EEF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0F94776B" w:rsidR="001D157B" w:rsidRDefault="005B3EEF" w:rsidP="000F1B82">
      <w:pPr>
        <w:jc w:val="center"/>
      </w:pPr>
      <w:r>
        <w:rPr>
          <w:noProof/>
        </w:rPr>
        <w:drawing>
          <wp:inline distT="0" distB="0" distL="0" distR="0" wp14:anchorId="4DB5ED15" wp14:editId="64D879E1">
            <wp:extent cx="4500000" cy="2160000"/>
            <wp:effectExtent l="0" t="0" r="15240" b="12065"/>
            <wp:docPr id="320018350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715ADC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72529C6E" w:rsidR="00E83133" w:rsidRDefault="00715ADC" w:rsidP="00E83133">
      <w:pPr>
        <w:jc w:val="center"/>
      </w:pPr>
      <w:r>
        <w:rPr>
          <w:noProof/>
        </w:rPr>
        <w:drawing>
          <wp:inline distT="0" distB="0" distL="0" distR="0" wp14:anchorId="66482491" wp14:editId="4AB7A836">
            <wp:extent cx="4500000" cy="2160000"/>
            <wp:effectExtent l="0" t="0" r="15240" b="12065"/>
            <wp:docPr id="1829290502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47C1CF31" w:rsidR="00577B3D" w:rsidRPr="0056097C" w:rsidRDefault="0056097C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0A2FF545" w:rsidR="00577B3D" w:rsidRPr="006845D9" w:rsidRDefault="006845D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70290214" w:rsidR="00577B3D" w:rsidRPr="00AB5989" w:rsidRDefault="00AB598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FB24615" w:rsidR="00577B3D" w:rsidRPr="00184310" w:rsidRDefault="00184310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F7923E5" w:rsidR="00577B3D" w:rsidRPr="0043083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E3196F5" w:rsidR="00577B3D" w:rsidRPr="002016D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4CAEEFC8" w:rsidR="00577B3D" w:rsidRPr="002016D5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06054E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115CD448" w:rsidR="001310E1" w:rsidRDefault="0006054E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314887DA" wp14:editId="46908ACA">
            <wp:extent cx="6210300" cy="2724150"/>
            <wp:effectExtent l="0" t="0" r="0" b="0"/>
            <wp:docPr id="1630787662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5BE7" w14:textId="77777777" w:rsidR="005C707C" w:rsidRDefault="005C707C">
      <w:r>
        <w:separator/>
      </w:r>
    </w:p>
  </w:endnote>
  <w:endnote w:type="continuationSeparator" w:id="0">
    <w:p w14:paraId="5144DAA0" w14:textId="77777777" w:rsidR="005C707C" w:rsidRDefault="005C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EAD9" w14:textId="77777777" w:rsidR="005C707C" w:rsidRDefault="005C707C">
      <w:r>
        <w:separator/>
      </w:r>
    </w:p>
  </w:footnote>
  <w:footnote w:type="continuationSeparator" w:id="0">
    <w:p w14:paraId="79EA0E66" w14:textId="77777777" w:rsidR="005C707C" w:rsidRDefault="005C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0B90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5DA7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49C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54E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5"/>
    <w:rsid w:val="00063797"/>
    <w:rsid w:val="00063878"/>
    <w:rsid w:val="00063C51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EAF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4E32"/>
    <w:rsid w:val="000750DE"/>
    <w:rsid w:val="000755A8"/>
    <w:rsid w:val="000755F4"/>
    <w:rsid w:val="000756D9"/>
    <w:rsid w:val="00075C40"/>
    <w:rsid w:val="00075F16"/>
    <w:rsid w:val="00076AFA"/>
    <w:rsid w:val="00076C23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AF3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0EF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4EA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3F0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991"/>
    <w:rsid w:val="00136B5E"/>
    <w:rsid w:val="00136C11"/>
    <w:rsid w:val="00136C76"/>
    <w:rsid w:val="00136CB7"/>
    <w:rsid w:val="00136DD3"/>
    <w:rsid w:val="00136FC1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29F5"/>
    <w:rsid w:val="00143689"/>
    <w:rsid w:val="001436D4"/>
    <w:rsid w:val="00143AFE"/>
    <w:rsid w:val="00143B92"/>
    <w:rsid w:val="00143E58"/>
    <w:rsid w:val="0014447D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0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86C"/>
    <w:rsid w:val="00171C97"/>
    <w:rsid w:val="00171DA3"/>
    <w:rsid w:val="001720B7"/>
    <w:rsid w:val="001721F6"/>
    <w:rsid w:val="001723A0"/>
    <w:rsid w:val="001726CC"/>
    <w:rsid w:val="001729FC"/>
    <w:rsid w:val="00172A8A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2D7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10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4FCA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78"/>
    <w:rsid w:val="001D5CED"/>
    <w:rsid w:val="001D61F3"/>
    <w:rsid w:val="001D6B5D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0BE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4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1E77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80"/>
    <w:rsid w:val="002830CD"/>
    <w:rsid w:val="002833F4"/>
    <w:rsid w:val="00283980"/>
    <w:rsid w:val="0028398A"/>
    <w:rsid w:val="00284278"/>
    <w:rsid w:val="002847DA"/>
    <w:rsid w:val="00284817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878CA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717B"/>
    <w:rsid w:val="002974C5"/>
    <w:rsid w:val="0029750D"/>
    <w:rsid w:val="0029773C"/>
    <w:rsid w:val="002977AA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4C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1EF8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218E"/>
    <w:rsid w:val="002E22FE"/>
    <w:rsid w:val="002E2303"/>
    <w:rsid w:val="002E26A1"/>
    <w:rsid w:val="002E2C66"/>
    <w:rsid w:val="002E2D6E"/>
    <w:rsid w:val="002E2EF1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75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CE9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292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5F7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7F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63A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8B4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77"/>
    <w:rsid w:val="003E7B92"/>
    <w:rsid w:val="003E7E68"/>
    <w:rsid w:val="003F0307"/>
    <w:rsid w:val="003F0C54"/>
    <w:rsid w:val="003F0F5C"/>
    <w:rsid w:val="003F120E"/>
    <w:rsid w:val="003F1257"/>
    <w:rsid w:val="003F133A"/>
    <w:rsid w:val="003F139F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13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A7"/>
    <w:rsid w:val="004115D9"/>
    <w:rsid w:val="00411E76"/>
    <w:rsid w:val="00412561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9AF"/>
    <w:rsid w:val="00431AB9"/>
    <w:rsid w:val="00431BC6"/>
    <w:rsid w:val="00431F79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100"/>
    <w:rsid w:val="004367F1"/>
    <w:rsid w:val="00436918"/>
    <w:rsid w:val="004369CA"/>
    <w:rsid w:val="004369DB"/>
    <w:rsid w:val="00436AA3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F0E"/>
    <w:rsid w:val="004459CA"/>
    <w:rsid w:val="00445A50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4"/>
    <w:rsid w:val="00456499"/>
    <w:rsid w:val="00456685"/>
    <w:rsid w:val="0045734B"/>
    <w:rsid w:val="0045736C"/>
    <w:rsid w:val="004573F0"/>
    <w:rsid w:val="0045771F"/>
    <w:rsid w:val="004578D6"/>
    <w:rsid w:val="00457979"/>
    <w:rsid w:val="00457A8C"/>
    <w:rsid w:val="00457BDC"/>
    <w:rsid w:val="004600AB"/>
    <w:rsid w:val="00460217"/>
    <w:rsid w:val="00460429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183"/>
    <w:rsid w:val="004744A8"/>
    <w:rsid w:val="004747E9"/>
    <w:rsid w:val="0047480F"/>
    <w:rsid w:val="00474A92"/>
    <w:rsid w:val="00474D28"/>
    <w:rsid w:val="00475149"/>
    <w:rsid w:val="004753E2"/>
    <w:rsid w:val="0047560B"/>
    <w:rsid w:val="00475858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CA"/>
    <w:rsid w:val="004A1DA3"/>
    <w:rsid w:val="004A20DC"/>
    <w:rsid w:val="004A267F"/>
    <w:rsid w:val="004A2710"/>
    <w:rsid w:val="004A2788"/>
    <w:rsid w:val="004A2A68"/>
    <w:rsid w:val="004A2BAF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B62"/>
    <w:rsid w:val="004A7EAF"/>
    <w:rsid w:val="004A7F50"/>
    <w:rsid w:val="004B0397"/>
    <w:rsid w:val="004B05FE"/>
    <w:rsid w:val="004B0677"/>
    <w:rsid w:val="004B0680"/>
    <w:rsid w:val="004B08BB"/>
    <w:rsid w:val="004B11BA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D9F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0F4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4E08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285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1C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FE1"/>
    <w:rsid w:val="0055744C"/>
    <w:rsid w:val="005575B9"/>
    <w:rsid w:val="00557AD4"/>
    <w:rsid w:val="00557E24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64F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D39"/>
    <w:rsid w:val="00580105"/>
    <w:rsid w:val="00580202"/>
    <w:rsid w:val="005802C3"/>
    <w:rsid w:val="00580534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769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CC2"/>
    <w:rsid w:val="005A1DEE"/>
    <w:rsid w:val="005A1E34"/>
    <w:rsid w:val="005A1EAA"/>
    <w:rsid w:val="005A1F23"/>
    <w:rsid w:val="005A2180"/>
    <w:rsid w:val="005A240A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EB9"/>
    <w:rsid w:val="005B37E3"/>
    <w:rsid w:val="005B39C4"/>
    <w:rsid w:val="005B3A58"/>
    <w:rsid w:val="005B3CCE"/>
    <w:rsid w:val="005B3EEF"/>
    <w:rsid w:val="005B3F2B"/>
    <w:rsid w:val="005B4021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7C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652"/>
    <w:rsid w:val="00610848"/>
    <w:rsid w:val="00610899"/>
    <w:rsid w:val="0061091E"/>
    <w:rsid w:val="0061093B"/>
    <w:rsid w:val="00610B08"/>
    <w:rsid w:val="00610C47"/>
    <w:rsid w:val="00610D6A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A1A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2F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6FD6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57D69"/>
    <w:rsid w:val="0066026D"/>
    <w:rsid w:val="00660B2C"/>
    <w:rsid w:val="00660DEE"/>
    <w:rsid w:val="006611F3"/>
    <w:rsid w:val="006612D3"/>
    <w:rsid w:val="006615BF"/>
    <w:rsid w:val="0066177B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38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DFE"/>
    <w:rsid w:val="00677E96"/>
    <w:rsid w:val="006803C5"/>
    <w:rsid w:val="00680507"/>
    <w:rsid w:val="00680CFB"/>
    <w:rsid w:val="00680F0F"/>
    <w:rsid w:val="006810CC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A5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A6F"/>
    <w:rsid w:val="006B6B55"/>
    <w:rsid w:val="006B6E00"/>
    <w:rsid w:val="006B70DE"/>
    <w:rsid w:val="006B71E1"/>
    <w:rsid w:val="006B720C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BE"/>
    <w:rsid w:val="006C23DE"/>
    <w:rsid w:val="006C2AC2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10F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F49"/>
    <w:rsid w:val="006D7309"/>
    <w:rsid w:val="006D76FA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4BF6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3F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ADC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C59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EB8"/>
    <w:rsid w:val="00760F15"/>
    <w:rsid w:val="0076102B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88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2F2A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20C"/>
    <w:rsid w:val="007B02D3"/>
    <w:rsid w:val="007B02D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1EDE"/>
    <w:rsid w:val="007B23DA"/>
    <w:rsid w:val="007B250A"/>
    <w:rsid w:val="007B25BC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E14"/>
    <w:rsid w:val="007D3242"/>
    <w:rsid w:val="007D32F9"/>
    <w:rsid w:val="007D388A"/>
    <w:rsid w:val="007D3B3E"/>
    <w:rsid w:val="007D3DAF"/>
    <w:rsid w:val="007D3DBD"/>
    <w:rsid w:val="007D3E2D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F0F"/>
    <w:rsid w:val="007F0280"/>
    <w:rsid w:val="007F0728"/>
    <w:rsid w:val="007F097C"/>
    <w:rsid w:val="007F0989"/>
    <w:rsid w:val="007F0BA7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370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7D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B5F"/>
    <w:rsid w:val="00834BF4"/>
    <w:rsid w:val="00834C92"/>
    <w:rsid w:val="00834D14"/>
    <w:rsid w:val="00834DF9"/>
    <w:rsid w:val="00834E3C"/>
    <w:rsid w:val="00834EA2"/>
    <w:rsid w:val="00835747"/>
    <w:rsid w:val="00835B1B"/>
    <w:rsid w:val="00835C04"/>
    <w:rsid w:val="00836174"/>
    <w:rsid w:val="008362B3"/>
    <w:rsid w:val="00836681"/>
    <w:rsid w:val="00836885"/>
    <w:rsid w:val="0083693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D52"/>
    <w:rsid w:val="00855F85"/>
    <w:rsid w:val="008564B2"/>
    <w:rsid w:val="008564DD"/>
    <w:rsid w:val="008568FB"/>
    <w:rsid w:val="00856943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08D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384"/>
    <w:rsid w:val="00874664"/>
    <w:rsid w:val="00874770"/>
    <w:rsid w:val="008747F3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BE4"/>
    <w:rsid w:val="008A0DFB"/>
    <w:rsid w:val="008A0E60"/>
    <w:rsid w:val="008A0F8A"/>
    <w:rsid w:val="008A1927"/>
    <w:rsid w:val="008A199C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D05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8F7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3DBB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40D"/>
    <w:rsid w:val="00911EA7"/>
    <w:rsid w:val="00911EA9"/>
    <w:rsid w:val="0091221C"/>
    <w:rsid w:val="0091238D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5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74B"/>
    <w:rsid w:val="00973BB3"/>
    <w:rsid w:val="00973BE8"/>
    <w:rsid w:val="009741A9"/>
    <w:rsid w:val="00974285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DCC"/>
    <w:rsid w:val="00993F29"/>
    <w:rsid w:val="0099404F"/>
    <w:rsid w:val="00994374"/>
    <w:rsid w:val="00994668"/>
    <w:rsid w:val="00994800"/>
    <w:rsid w:val="00994907"/>
    <w:rsid w:val="00994D59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7E2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2D6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6E9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1BC1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73B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21C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0D32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3AA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592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580F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1A29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8A"/>
    <w:rsid w:val="00AF09A8"/>
    <w:rsid w:val="00AF0CD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D6"/>
    <w:rsid w:val="00AF55FC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1253"/>
    <w:rsid w:val="00B0134D"/>
    <w:rsid w:val="00B015E1"/>
    <w:rsid w:val="00B01944"/>
    <w:rsid w:val="00B01DB2"/>
    <w:rsid w:val="00B02003"/>
    <w:rsid w:val="00B0216B"/>
    <w:rsid w:val="00B021B6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0C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6A6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504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566"/>
    <w:rsid w:val="00B70804"/>
    <w:rsid w:val="00B70A36"/>
    <w:rsid w:val="00B70B54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4EAB"/>
    <w:rsid w:val="00B7506E"/>
    <w:rsid w:val="00B75180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D9E"/>
    <w:rsid w:val="00BC7E82"/>
    <w:rsid w:val="00BD044F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E0"/>
    <w:rsid w:val="00C138F3"/>
    <w:rsid w:val="00C13B35"/>
    <w:rsid w:val="00C13F2F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477"/>
    <w:rsid w:val="00C2347A"/>
    <w:rsid w:val="00C23507"/>
    <w:rsid w:val="00C236EF"/>
    <w:rsid w:val="00C2394E"/>
    <w:rsid w:val="00C23B1D"/>
    <w:rsid w:val="00C23E2F"/>
    <w:rsid w:val="00C23FB2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27ED4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697"/>
    <w:rsid w:val="00C546E7"/>
    <w:rsid w:val="00C54B7D"/>
    <w:rsid w:val="00C54CA2"/>
    <w:rsid w:val="00C54F42"/>
    <w:rsid w:val="00C54F49"/>
    <w:rsid w:val="00C54FEC"/>
    <w:rsid w:val="00C552A3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75B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1B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1E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1870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842"/>
    <w:rsid w:val="00D2596F"/>
    <w:rsid w:val="00D259A4"/>
    <w:rsid w:val="00D25B74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98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07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421D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C7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0C9A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1B7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C7E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E56"/>
    <w:rsid w:val="00DE3E98"/>
    <w:rsid w:val="00DE4067"/>
    <w:rsid w:val="00DE4230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AAF"/>
    <w:rsid w:val="00DE5FF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1E0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B8A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FFA"/>
    <w:rsid w:val="00E043D7"/>
    <w:rsid w:val="00E044D6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C9"/>
    <w:rsid w:val="00E44020"/>
    <w:rsid w:val="00E44096"/>
    <w:rsid w:val="00E444E0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252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3DE"/>
    <w:rsid w:val="00E63921"/>
    <w:rsid w:val="00E63984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BCF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500C"/>
    <w:rsid w:val="00EA5068"/>
    <w:rsid w:val="00EA5296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06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175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EF7F87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625"/>
    <w:rsid w:val="00F24839"/>
    <w:rsid w:val="00F2495A"/>
    <w:rsid w:val="00F24991"/>
    <w:rsid w:val="00F24C3D"/>
    <w:rsid w:val="00F24F65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E0F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5D8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1A8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8DB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830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73D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754F"/>
    <w:rsid w:val="00FE7813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78-4340-B11A-38483C3ABF7E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78-4340-B11A-38483C3ABF7E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3133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D78-4340-B11A-38483C3ABF7E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78-4340-B11A-38483C3ABF7E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78-4340-B11A-38483C3ABF7E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78-4340-B11A-38483C3ABF7E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78-4340-B11A-38483C3ABF7E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78-4340-B11A-38483C3ABF7E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78-4340-B11A-38483C3ABF7E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78-4340-B11A-38483C3ABF7E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D78-4340-B11A-38483C3ABF7E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78-4340-B11A-38483C3ABF7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3043</c:v>
                </c:pt>
                <c:pt idx="1">
                  <c:v>3120</c:v>
                </c:pt>
                <c:pt idx="2">
                  <c:v>3174</c:v>
                </c:pt>
                <c:pt idx="3">
                  <c:v>3202</c:v>
                </c:pt>
                <c:pt idx="4">
                  <c:v>3245</c:v>
                </c:pt>
                <c:pt idx="5">
                  <c:v>3298</c:v>
                </c:pt>
                <c:pt idx="6">
                  <c:v>3198</c:v>
                </c:pt>
                <c:pt idx="7">
                  <c:v>3268</c:v>
                </c:pt>
                <c:pt idx="8">
                  <c:v>3280</c:v>
                </c:pt>
                <c:pt idx="9">
                  <c:v>3236</c:v>
                </c:pt>
                <c:pt idx="10">
                  <c:v>3280</c:v>
                </c:pt>
                <c:pt idx="11">
                  <c:v>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D78-4340-B11A-38483C3ABF7E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  <c:pt idx="5">
                  <c:v>4176</c:v>
                </c:pt>
                <c:pt idx="6">
                  <c:v>4196</c:v>
                </c:pt>
                <c:pt idx="7">
                  <c:v>4134</c:v>
                </c:pt>
                <c:pt idx="8">
                  <c:v>4290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D78-4340-B11A-38483C3AB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7D78-4340-B11A-38483C3ABF7E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D78-4340-B11A-38483C3ABF7E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D78-4340-B11A-38483C3ABF7E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7D78-4340-B11A-38483C3ABF7E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7D78-4340-B11A-38483C3ABF7E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7D78-4340-B11A-38483C3ABF7E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7D78-4340-B11A-38483C3ABF7E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7D78-4340-B11A-38483C3ABF7E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7D78-4340-B11A-38483C3ABF7E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7D78-4340-B11A-38483C3ABF7E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7D78-4340-B11A-38483C3ABF7E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7D78-4340-B11A-38483C3ABF7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7D78-4340-B11A-38483C3ABF7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7D78-4340-B11A-38483C3ABF7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7D78-4340-B11A-38483C3ABF7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7D78-4340-B11A-38483C3ABF7E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2024K1</c:v>
                </c:pt>
                <c:pt idx="1">
                  <c:v>2024K2</c:v>
                </c:pt>
                <c:pt idx="2">
                  <c:v>2024K3</c:v>
                </c:pt>
                <c:pt idx="3">
                  <c:v>2024K4</c:v>
                </c:pt>
                <c:pt idx="4">
                  <c:v>2025K1</c:v>
                </c:pt>
                <c:pt idx="5">
                  <c:v>2025K2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12.2</c:v>
                </c:pt>
                <c:pt idx="1">
                  <c:v>10.9</c:v>
                </c:pt>
                <c:pt idx="2">
                  <c:v>8</c:v>
                </c:pt>
                <c:pt idx="3">
                  <c:v>7.9</c:v>
                </c:pt>
                <c:pt idx="4">
                  <c:v>8.5</c:v>
                </c:pt>
                <c:pt idx="5">
                  <c:v>9.3000000000000007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70-4845-B855-3F26238544C4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2024K1</c:v>
                </c:pt>
                <c:pt idx="1">
                  <c:v>2024K2</c:v>
                </c:pt>
                <c:pt idx="2">
                  <c:v>2024K3</c:v>
                </c:pt>
                <c:pt idx="3">
                  <c:v>2024K4</c:v>
                </c:pt>
                <c:pt idx="4">
                  <c:v>2025K1</c:v>
                </c:pt>
                <c:pt idx="5">
                  <c:v>2025K2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9.3000000000000007</c:v>
                </c:pt>
                <c:pt idx="1">
                  <c:v>11.4</c:v>
                </c:pt>
                <c:pt idx="2">
                  <c:v>8.6</c:v>
                </c:pt>
                <c:pt idx="3">
                  <c:v>9.4</c:v>
                </c:pt>
                <c:pt idx="4">
                  <c:v>11.1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70-4845-B855-3F26238544C4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2024K1</c:v>
                </c:pt>
                <c:pt idx="1">
                  <c:v>2024K2</c:v>
                </c:pt>
                <c:pt idx="2">
                  <c:v>2024K3</c:v>
                </c:pt>
                <c:pt idx="3">
                  <c:v>2024K4</c:v>
                </c:pt>
                <c:pt idx="4">
                  <c:v>2025K1</c:v>
                </c:pt>
                <c:pt idx="5">
                  <c:v>2025K2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13.7</c:v>
                </c:pt>
                <c:pt idx="1">
                  <c:v>10.8</c:v>
                </c:pt>
                <c:pt idx="2">
                  <c:v>5.0999999999999996</c:v>
                </c:pt>
                <c:pt idx="3">
                  <c:v>6.1</c:v>
                </c:pt>
                <c:pt idx="4">
                  <c:v>7.3</c:v>
                </c:pt>
                <c:pt idx="5">
                  <c:v>9.8000000000000007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70-4845-B855-3F26238544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Lapas1!$A$89:$A$101</c:f>
              <c:strCache>
                <c:ptCount val="13"/>
                <c:pt idx="0">
                  <c:v>2024M10</c:v>
                </c:pt>
                <c:pt idx="1">
                  <c:v>2024M11</c:v>
                </c:pt>
                <c:pt idx="2">
                  <c:v>2024M12</c:v>
                </c:pt>
                <c:pt idx="3">
                  <c:v>2025M01</c:v>
                </c:pt>
                <c:pt idx="4">
                  <c:v>2025M02</c:v>
                </c:pt>
                <c:pt idx="5">
                  <c:v>2025M03</c:v>
                </c:pt>
                <c:pt idx="6">
                  <c:v>2025M04</c:v>
                </c:pt>
                <c:pt idx="7">
                  <c:v>2025M05</c:v>
                </c:pt>
                <c:pt idx="8">
                  <c:v>2025M06</c:v>
                </c:pt>
                <c:pt idx="9">
                  <c:v>2025M07</c:v>
                </c:pt>
                <c:pt idx="10">
                  <c:v>2025M08</c:v>
                </c:pt>
                <c:pt idx="11">
                  <c:v>2025M09</c:v>
                </c:pt>
                <c:pt idx="12">
                  <c:v>2025M10</c:v>
                </c:pt>
              </c:strCache>
            </c:strRef>
          </c:cat>
          <c:val>
            <c:numRef>
              <c:f>Lapas1!$C$89:$C$101</c:f>
              <c:numCache>
                <c:formatCode>General</c:formatCode>
                <c:ptCount val="13"/>
                <c:pt idx="0">
                  <c:v>-1.9</c:v>
                </c:pt>
                <c:pt idx="1">
                  <c:v>-0.7</c:v>
                </c:pt>
                <c:pt idx="2">
                  <c:v>0.4</c:v>
                </c:pt>
                <c:pt idx="3">
                  <c:v>2.6</c:v>
                </c:pt>
                <c:pt idx="4">
                  <c:v>2.5</c:v>
                </c:pt>
                <c:pt idx="5">
                  <c:v>3.4</c:v>
                </c:pt>
                <c:pt idx="6">
                  <c:v>3.3</c:v>
                </c:pt>
                <c:pt idx="7">
                  <c:v>2.4</c:v>
                </c:pt>
                <c:pt idx="8">
                  <c:v>2.7</c:v>
                </c:pt>
                <c:pt idx="9">
                  <c:v>2.8</c:v>
                </c:pt>
                <c:pt idx="10">
                  <c:v>3</c:v>
                </c:pt>
                <c:pt idx="11">
                  <c:v>3.1</c:v>
                </c:pt>
                <c:pt idx="12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05-4A12-9FBF-A443929CF2F0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Lapas1!$A$89:$A$101</c:f>
              <c:strCache>
                <c:ptCount val="13"/>
                <c:pt idx="0">
                  <c:v>2024M10</c:v>
                </c:pt>
                <c:pt idx="1">
                  <c:v>2024M11</c:v>
                </c:pt>
                <c:pt idx="2">
                  <c:v>2024M12</c:v>
                </c:pt>
                <c:pt idx="3">
                  <c:v>2025M01</c:v>
                </c:pt>
                <c:pt idx="4">
                  <c:v>2025M02</c:v>
                </c:pt>
                <c:pt idx="5">
                  <c:v>2025M03</c:v>
                </c:pt>
                <c:pt idx="6">
                  <c:v>2025M04</c:v>
                </c:pt>
                <c:pt idx="7">
                  <c:v>2025M05</c:v>
                </c:pt>
                <c:pt idx="8">
                  <c:v>2025M06</c:v>
                </c:pt>
                <c:pt idx="9">
                  <c:v>2025M07</c:v>
                </c:pt>
                <c:pt idx="10">
                  <c:v>2025M08</c:v>
                </c:pt>
                <c:pt idx="11">
                  <c:v>2025M09</c:v>
                </c:pt>
                <c:pt idx="12">
                  <c:v>2025M10</c:v>
                </c:pt>
              </c:strCache>
            </c:strRef>
          </c:cat>
          <c:val>
            <c:numRef>
              <c:f>Lapas1!$D$89:$D$101</c:f>
              <c:numCache>
                <c:formatCode>General</c:formatCode>
                <c:ptCount val="13"/>
                <c:pt idx="0">
                  <c:v>5.7</c:v>
                </c:pt>
                <c:pt idx="1">
                  <c:v>6.1</c:v>
                </c:pt>
                <c:pt idx="2">
                  <c:v>6.1</c:v>
                </c:pt>
                <c:pt idx="3">
                  <c:v>6</c:v>
                </c:pt>
                <c:pt idx="4">
                  <c:v>5.8</c:v>
                </c:pt>
                <c:pt idx="5">
                  <c:v>5.7</c:v>
                </c:pt>
                <c:pt idx="6">
                  <c:v>5.8</c:v>
                </c:pt>
                <c:pt idx="7">
                  <c:v>5.7</c:v>
                </c:pt>
                <c:pt idx="8">
                  <c:v>5.9</c:v>
                </c:pt>
                <c:pt idx="9">
                  <c:v>6</c:v>
                </c:pt>
                <c:pt idx="10">
                  <c:v>6.1</c:v>
                </c:pt>
                <c:pt idx="11">
                  <c:v>6</c:v>
                </c:pt>
                <c:pt idx="12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05-4A12-9FBF-A443929CF2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Lapas1!$A$89:$A$101</c:f>
              <c:strCache>
                <c:ptCount val="13"/>
                <c:pt idx="0">
                  <c:v>2024M10</c:v>
                </c:pt>
                <c:pt idx="1">
                  <c:v>2024M11</c:v>
                </c:pt>
                <c:pt idx="2">
                  <c:v>2024M12</c:v>
                </c:pt>
                <c:pt idx="3">
                  <c:v>2025M01</c:v>
                </c:pt>
                <c:pt idx="4">
                  <c:v>2025M02</c:v>
                </c:pt>
                <c:pt idx="5">
                  <c:v>2025M03</c:v>
                </c:pt>
                <c:pt idx="6">
                  <c:v>2025M04</c:v>
                </c:pt>
                <c:pt idx="7">
                  <c:v>2025M05</c:v>
                </c:pt>
                <c:pt idx="8">
                  <c:v>2025M06</c:v>
                </c:pt>
                <c:pt idx="9">
                  <c:v>2025M07</c:v>
                </c:pt>
                <c:pt idx="10">
                  <c:v>2025M08</c:v>
                </c:pt>
                <c:pt idx="11">
                  <c:v>2025M09</c:v>
                </c:pt>
                <c:pt idx="12">
                  <c:v>2025M10</c:v>
                </c:pt>
              </c:strCache>
            </c:strRef>
          </c:cat>
          <c:val>
            <c:numRef>
              <c:f>Lapas1!$B$89:$B$101</c:f>
              <c:numCache>
                <c:formatCode>General</c:formatCode>
                <c:ptCount val="13"/>
                <c:pt idx="0">
                  <c:v>0.3</c:v>
                </c:pt>
                <c:pt idx="1">
                  <c:v>1.3</c:v>
                </c:pt>
                <c:pt idx="2">
                  <c:v>2.1</c:v>
                </c:pt>
                <c:pt idx="3">
                  <c:v>3.6</c:v>
                </c:pt>
                <c:pt idx="4">
                  <c:v>3.5</c:v>
                </c:pt>
                <c:pt idx="5">
                  <c:v>4.0999999999999996</c:v>
                </c:pt>
                <c:pt idx="6">
                  <c:v>4.0999999999999996</c:v>
                </c:pt>
                <c:pt idx="7">
                  <c:v>3.4</c:v>
                </c:pt>
                <c:pt idx="8">
                  <c:v>3.7</c:v>
                </c:pt>
                <c:pt idx="9">
                  <c:v>3.8</c:v>
                </c:pt>
                <c:pt idx="10">
                  <c:v>4</c:v>
                </c:pt>
                <c:pt idx="11">
                  <c:v>4</c:v>
                </c:pt>
                <c:pt idx="12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B05-4A12-9FBF-A443929CF2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53-4C49-9A9F-2F9C7F5EAC14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1964</c:v>
                </c:pt>
                <c:pt idx="7">
                  <c:v>2092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53-4C49-9A9F-2F9C7F5EAC14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2375</c:v>
                </c:pt>
                <c:pt idx="10">
                  <c:v>2320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53-4C49-9A9F-2F9C7F5EAC14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53-4C49-9A9F-2F9C7F5EAC14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53-4C49-9A9F-2F9C7F5EAC14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53-4C49-9A9F-2F9C7F5EAC14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53-4C49-9A9F-2F9C7F5EAC14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53-4C49-9A9F-2F9C7F5EAC14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53-4C49-9A9F-2F9C7F5EAC14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53-4C49-9A9F-2F9C7F5EAC14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9353-4C49-9A9F-2F9C7F5EAC14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53-4C49-9A9F-2F9C7F5EAC1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2332</c:v>
                </c:pt>
                <c:pt idx="1">
                  <c:v>2298</c:v>
                </c:pt>
                <c:pt idx="2">
                  <c:v>2389</c:v>
                </c:pt>
                <c:pt idx="3">
                  <c:v>2394</c:v>
                </c:pt>
                <c:pt idx="4">
                  <c:v>2388</c:v>
                </c:pt>
                <c:pt idx="5">
                  <c:v>2406</c:v>
                </c:pt>
                <c:pt idx="6">
                  <c:v>2337</c:v>
                </c:pt>
                <c:pt idx="7">
                  <c:v>2245</c:v>
                </c:pt>
                <c:pt idx="8">
                  <c:v>2143</c:v>
                </c:pt>
                <c:pt idx="9">
                  <c:v>2253</c:v>
                </c:pt>
                <c:pt idx="10">
                  <c:v>2102</c:v>
                </c:pt>
                <c:pt idx="11">
                  <c:v>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353-4C49-9A9F-2F9C7F5EAC14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  <c:pt idx="5">
                  <c:v>2359</c:v>
                </c:pt>
                <c:pt idx="6">
                  <c:v>2161</c:v>
                </c:pt>
                <c:pt idx="7">
                  <c:v>2099</c:v>
                </c:pt>
                <c:pt idx="8">
                  <c:v>1962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9353-4C49-9A9F-2F9C7F5EA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9353-4C49-9A9F-2F9C7F5EAC14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9353-4C49-9A9F-2F9C7F5EAC14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9353-4C49-9A9F-2F9C7F5EAC14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9353-4C49-9A9F-2F9C7F5EAC14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9353-4C49-9A9F-2F9C7F5EAC14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9353-4C49-9A9F-2F9C7F5EAC14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9353-4C49-9A9F-2F9C7F5EAC14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9353-4C49-9A9F-2F9C7F5EAC14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9353-4C49-9A9F-2F9C7F5EAC14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9353-4C49-9A9F-2F9C7F5EAC14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9353-4C49-9A9F-2F9C7F5EAC14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9353-4C49-9A9F-2F9C7F5EAC14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9353-4C49-9A9F-2F9C7F5EAC14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9353-4C49-9A9F-2F9C7F5EAC14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9353-4C49-9A9F-2F9C7F5EAC14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9353-4C49-9A9F-2F9C7F5EAC14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9353-4C49-9A9F-2F9C7F5EAC14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F9-4A38-8B00-A49CB1B457A6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F9-4A38-8B00-A49CB1B457A6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2240</c:v>
                </c:pt>
                <c:pt idx="4">
                  <c:v>2271</c:v>
                </c:pt>
                <c:pt idx="5">
                  <c:v>2323</c:v>
                </c:pt>
                <c:pt idx="6">
                  <c:v>2390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F9-4A38-8B00-A49CB1B457A6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F9-4A38-8B00-A49CB1B457A6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F9-4A38-8B00-A49CB1B457A6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F9-4A38-8B00-A49CB1B457A6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F9-4A38-8B00-A49CB1B457A6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8F9-4A38-8B00-A49CB1B457A6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F9-4A38-8B00-A49CB1B457A6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8F9-4A38-8B00-A49CB1B457A6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8F9-4A38-8B00-A49CB1B457A6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48F9-4A38-8B00-A49CB1B457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2373</c:v>
                </c:pt>
                <c:pt idx="1">
                  <c:v>2343</c:v>
                </c:pt>
                <c:pt idx="2">
                  <c:v>1644</c:v>
                </c:pt>
                <c:pt idx="3">
                  <c:v>1624</c:v>
                </c:pt>
                <c:pt idx="4">
                  <c:v>1610</c:v>
                </c:pt>
                <c:pt idx="5">
                  <c:v>1606</c:v>
                </c:pt>
                <c:pt idx="6">
                  <c:v>1645</c:v>
                </c:pt>
                <c:pt idx="7">
                  <c:v>1611</c:v>
                </c:pt>
                <c:pt idx="8">
                  <c:v>1636</c:v>
                </c:pt>
                <c:pt idx="9">
                  <c:v>1621</c:v>
                </c:pt>
                <c:pt idx="10">
                  <c:v>1656</c:v>
                </c:pt>
                <c:pt idx="11">
                  <c:v>1784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8F9-4A38-8B00-A49CB1B457A6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  <c:pt idx="5">
                  <c:v>1921</c:v>
                </c:pt>
                <c:pt idx="6">
                  <c:v>1957</c:v>
                </c:pt>
                <c:pt idx="7">
                  <c:v>1922</c:v>
                </c:pt>
                <c:pt idx="8">
                  <c:v>1965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8F9-4A38-8B00-A49CB1B45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48F9-4A38-8B00-A49CB1B457A6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48F9-4A38-8B00-A49CB1B457A6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48F9-4A38-8B00-A49CB1B457A6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48F9-4A38-8B00-A49CB1B457A6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48F9-4A38-8B00-A49CB1B457A6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48F9-4A38-8B00-A49CB1B457A6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48F9-4A38-8B00-A49CB1B457A6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48F9-4A38-8B00-A49CB1B457A6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48F9-4A38-8B00-A49CB1B457A6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48F9-4A38-8B00-A49CB1B457A6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48F9-4A38-8B00-A49CB1B457A6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48F9-4A38-8B00-A49CB1B457A6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48F9-4A38-8B00-A49CB1B457A6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48F9-4A38-8B00-A49CB1B457A6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48F9-4A38-8B00-A49CB1B457A6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48F9-4A38-8B00-A49CB1B457A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48F9-4A38-8B00-A49CB1B457A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48F9-4A38-8B00-A49CB1B457A6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F56-40F7-922E-5B208332CA40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56-40F7-922E-5B208332CA40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F56-40F7-922E-5B208332CA40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F56-40F7-922E-5B208332CA40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56-40F7-922E-5B208332CA40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F56-40F7-922E-5B208332CA40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56-40F7-922E-5B208332CA40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F56-40F7-922E-5B208332CA40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56-40F7-922E-5B208332CA40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56-40F7-922E-5B208332CA40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F56-40F7-922E-5B208332CA40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F56-40F7-922E-5B208332CA40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0F56-40F7-922E-5B208332CA4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  <c:pt idx="8">
                  <c:v>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F56-40F7-922E-5B208332CA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0F56-40F7-922E-5B208332CA40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0F56-40F7-922E-5B208332CA40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0F56-40F7-922E-5B208332CA40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0F56-40F7-922E-5B208332CA40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0F56-40F7-922E-5B208332CA40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0F56-40F7-922E-5B208332CA40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0F56-40F7-922E-5B208332CA40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0F56-40F7-922E-5B208332CA40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0F56-40F7-922E-5B208332CA40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0F56-40F7-922E-5B208332CA40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0F56-40F7-922E-5B208332CA40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0F56-40F7-922E-5B208332CA40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0F56-40F7-922E-5B208332CA40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0F56-40F7-922E-5B208332CA4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0F56-40F7-922E-5B208332CA40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0F56-40F7-922E-5B208332CA40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0F56-40F7-922E-5B208332CA40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80-4D27-A48C-04EE9CA1F03B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380-4D27-A48C-04EE9CA1F03B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80-4D27-A48C-04EE9CA1F03B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80-4D27-A48C-04EE9CA1F03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380-4D27-A48C-04EE9CA1F03B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  <c:pt idx="2">
                  <c:v>169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380-4D27-A48C-04EE9CA1F0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380-4D27-A48C-04EE9CA1F03B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7380-4D27-A48C-04EE9CA1F03B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7380-4D27-A48C-04EE9CA1F03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7380-4D27-A48C-04EE9CA1F03B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7380-4D27-A48C-04EE9CA1F03B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7380-4D27-A48C-04EE9CA1F03B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7380-4D27-A48C-04EE9CA1F03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7380-4D27-A48C-04EE9CA1F03B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7380-4D27-A48C-04EE9CA1F03B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7380-4D27-A48C-04EE9CA1F03B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380-4D27-A48C-04EE9CA1F03B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380-4D27-A48C-04EE9CA1F03B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7380-4D27-A48C-04EE9CA1F03B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04-49F9-BB42-4A5D486FD90F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04-49F9-BB42-4A5D486FD90F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04-49F9-BB42-4A5D486FD90F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04-49F9-BB42-4A5D486FD90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504-49F9-BB42-4A5D486FD90F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  <c:pt idx="2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504-49F9-BB42-4A5D486FD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504-49F9-BB42-4A5D486FD90F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504-49F9-BB42-4A5D486FD90F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504-49F9-BB42-4A5D486FD90F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504-49F9-BB42-4A5D486FD90F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504-49F9-BB42-4A5D486FD90F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B1E-4873-8EC8-665C50B77434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0B1E-4873-8EC8-665C50B77434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1E-4873-8EC8-665C50B7743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B1E-4873-8EC8-665C50B77434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  <c:pt idx="2">
                  <c:v>155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B1E-4873-8EC8-665C50B77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0B1E-4873-8EC8-665C50B77434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0B1E-4873-8EC8-665C50B77434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B1E-4873-8EC8-665C50B77434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B1E-4873-8EC8-665C50B77434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0B1E-4873-8EC8-665C50B77434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0B1E-4873-8EC8-665C50B77434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8AFE-4AE3-B04D-465F0C9CA82F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8AFE-4AE3-B04D-465F0C9CA82F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8AFE-4AE3-B04D-465F0C9CA82F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AFE-4AE3-B04D-465F0C9CA82F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8AFE-4AE3-B04D-465F0C9CA82F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AFE-4AE3-B04D-465F0C9CA82F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FE-4AE3-B04D-465F0C9CA82F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8AFE-4AE3-B04D-465F0C9CA8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AFE-4AE3-B04D-465F0C9CA82F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  <c:pt idx="2">
                  <c:v>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AFE-4AE3-B04D-465F0C9CA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8AFE-4AE3-B04D-465F0C9CA82F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AFE-4AE3-B04D-465F0C9CA82F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8AFE-4AE3-B04D-465F0C9CA82F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8AFE-4AE3-B04D-465F0C9CA82F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8AFE-4AE3-B04D-465F0C9CA82F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8AFE-4AE3-B04D-465F0C9CA82F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8AFE-4AE3-B04D-465F0C9CA82F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2025M02</c:v>
                </c:pt>
                <c:pt idx="1">
                  <c:v>2025M03</c:v>
                </c:pt>
                <c:pt idx="2">
                  <c:v>2025M04</c:v>
                </c:pt>
                <c:pt idx="3">
                  <c:v>2025M05</c:v>
                </c:pt>
                <c:pt idx="4">
                  <c:v>2025M06</c:v>
                </c:pt>
                <c:pt idx="5">
                  <c:v>2025M07</c:v>
                </c:pt>
                <c:pt idx="6">
                  <c:v>2025M08</c:v>
                </c:pt>
                <c:pt idx="7">
                  <c:v>2025M09</c:v>
                </c:pt>
                <c:pt idx="8">
                  <c:v>2025M10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1</c:v>
                </c:pt>
                <c:pt idx="1">
                  <c:v>1.2</c:v>
                </c:pt>
                <c:pt idx="2">
                  <c:v>1.6</c:v>
                </c:pt>
                <c:pt idx="3">
                  <c:v>2.1</c:v>
                </c:pt>
                <c:pt idx="4">
                  <c:v>0.7</c:v>
                </c:pt>
                <c:pt idx="5">
                  <c:v>1.1000000000000001</c:v>
                </c:pt>
                <c:pt idx="6">
                  <c:v>0.8</c:v>
                </c:pt>
                <c:pt idx="7">
                  <c:v>0.6</c:v>
                </c:pt>
                <c:pt idx="8">
                  <c:v>-0.4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46-49B9-9A5B-3C6D297B418D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2025M02</c:v>
                </c:pt>
                <c:pt idx="1">
                  <c:v>2025M03</c:v>
                </c:pt>
                <c:pt idx="2">
                  <c:v>2025M04</c:v>
                </c:pt>
                <c:pt idx="3">
                  <c:v>2025M05</c:v>
                </c:pt>
                <c:pt idx="4">
                  <c:v>2025M06</c:v>
                </c:pt>
                <c:pt idx="5">
                  <c:v>2025M07</c:v>
                </c:pt>
                <c:pt idx="6">
                  <c:v>2025M08</c:v>
                </c:pt>
                <c:pt idx="7">
                  <c:v>2025M09</c:v>
                </c:pt>
                <c:pt idx="8">
                  <c:v>2025M10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2.9</c:v>
                </c:pt>
                <c:pt idx="1">
                  <c:v>3.5</c:v>
                </c:pt>
                <c:pt idx="2">
                  <c:v>4.5</c:v>
                </c:pt>
                <c:pt idx="3">
                  <c:v>4.7</c:v>
                </c:pt>
                <c:pt idx="4">
                  <c:v>4.9000000000000004</c:v>
                </c:pt>
                <c:pt idx="5">
                  <c:v>3.4</c:v>
                </c:pt>
                <c:pt idx="6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46-49B9-9A5B-3C6D297B4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40781</TotalTime>
  <Pages>13</Pages>
  <Words>11247</Words>
  <Characters>6412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2171</cp:revision>
  <cp:lastPrinted>2018-11-09T11:31:00Z</cp:lastPrinted>
  <dcterms:created xsi:type="dcterms:W3CDTF">2019-09-09T11:25:00Z</dcterms:created>
  <dcterms:modified xsi:type="dcterms:W3CDTF">2025-11-11T23:10:00Z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